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451"/>
        <w:tblW w:w="10980" w:type="dxa"/>
        <w:tblInd w:w="0" w:type="dxa"/>
        <w:tblLook w:val="04A0" w:firstRow="1" w:lastRow="0" w:firstColumn="1" w:lastColumn="0" w:noHBand="0" w:noVBand="1"/>
      </w:tblPr>
      <w:tblGrid>
        <w:gridCol w:w="2628"/>
        <w:gridCol w:w="8352"/>
      </w:tblGrid>
      <w:tr w:rsidR="00F05ADE" w14:paraId="369BE024" w14:textId="77777777" w:rsidTr="00DE1011">
        <w:trPr>
          <w:trHeight w:val="664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832D" w14:textId="313D8812" w:rsidR="00F05ADE" w:rsidRPr="00190D5B" w:rsidRDefault="00190D5B" w:rsidP="007146FA">
            <w:pPr>
              <w:jc w:val="center"/>
              <w:rPr>
                <w:rFonts w:ascii="Arial" w:eastAsia="Times New Roman" w:hAnsi="Arial" w:cs="Times New Roman"/>
                <w:b/>
              </w:rPr>
            </w:pPr>
            <w:r>
              <w:rPr>
                <w:noProof/>
              </w:rPr>
              <w:drawing>
                <wp:inline distT="0" distB="0" distL="0" distR="0" wp14:anchorId="2099F072" wp14:editId="03751FCC">
                  <wp:extent cx="1531620" cy="450552"/>
                  <wp:effectExtent l="0" t="0" r="0" b="6985"/>
                  <wp:docPr id="20082977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237" cy="457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16D6" w14:textId="51368E2B" w:rsidR="00F05ADE" w:rsidRPr="00B06B05" w:rsidRDefault="00F05ADE" w:rsidP="00865B5A">
            <w:pPr>
              <w:jc w:val="center"/>
              <w:rPr>
                <w:rFonts w:ascii="Arial" w:eastAsia="Times New Roman" w:hAnsi="Arial" w:cs="Times New Roman"/>
                <w:b/>
              </w:rPr>
            </w:pPr>
            <w:r w:rsidRPr="00B06B05">
              <w:rPr>
                <w:rFonts w:ascii="Arial" w:eastAsia="Times New Roman" w:hAnsi="Arial" w:cs="Times New Roman"/>
                <w:b/>
              </w:rPr>
              <w:t xml:space="preserve">Brief Guidance for </w:t>
            </w:r>
            <w:r w:rsidR="00F87DFC">
              <w:rPr>
                <w:rFonts w:ascii="Arial" w:eastAsia="Times New Roman" w:hAnsi="Arial" w:cs="Times New Roman"/>
                <w:b/>
              </w:rPr>
              <w:t xml:space="preserve">Healthcare </w:t>
            </w:r>
            <w:r w:rsidR="0093286C">
              <w:rPr>
                <w:rFonts w:ascii="Arial" w:eastAsia="Times New Roman" w:hAnsi="Arial" w:cs="Times New Roman"/>
                <w:b/>
              </w:rPr>
              <w:t xml:space="preserve">Personnel Exposed to </w:t>
            </w:r>
            <w:r w:rsidR="00A73E60">
              <w:rPr>
                <w:rFonts w:ascii="Arial" w:eastAsia="Times New Roman" w:hAnsi="Arial" w:cs="Times New Roman"/>
                <w:b/>
              </w:rPr>
              <w:t>a Human HPAI Case</w:t>
            </w:r>
          </w:p>
        </w:tc>
      </w:tr>
    </w:tbl>
    <w:p w14:paraId="68E04535" w14:textId="77777777" w:rsidR="00F87DFC" w:rsidRDefault="00F87DFC" w:rsidP="00F05ADE">
      <w:pPr>
        <w:spacing w:after="0" w:line="240" w:lineRule="auto"/>
        <w:rPr>
          <w:rFonts w:eastAsiaTheme="majorEastAsia" w:cstheme="majorBidi"/>
          <w:bCs/>
        </w:rPr>
      </w:pPr>
    </w:p>
    <w:p w14:paraId="5798726A" w14:textId="45EBA359" w:rsidR="009E1238" w:rsidRPr="00E61B21" w:rsidRDefault="009E1238" w:rsidP="59945628">
      <w:pPr>
        <w:spacing w:after="0" w:line="240" w:lineRule="auto"/>
        <w:rPr>
          <w:rFonts w:cstheme="minorHAnsi"/>
          <w:b/>
          <w:bCs/>
        </w:rPr>
      </w:pPr>
      <w:r w:rsidRPr="00E61B21">
        <w:rPr>
          <w:rFonts w:cstheme="minorHAnsi"/>
          <w:b/>
          <w:bCs/>
        </w:rPr>
        <w:t xml:space="preserve">The risk to healthcare personnel (HCP) is low; there has been no documented transmission from </w:t>
      </w:r>
      <w:r w:rsidR="00E30D42" w:rsidRPr="00E61B21">
        <w:rPr>
          <w:rFonts w:cstheme="minorHAnsi"/>
          <w:b/>
          <w:bCs/>
        </w:rPr>
        <w:t xml:space="preserve">a </w:t>
      </w:r>
      <w:r w:rsidRPr="00E61B21">
        <w:rPr>
          <w:rFonts w:cstheme="minorHAnsi"/>
          <w:b/>
          <w:bCs/>
        </w:rPr>
        <w:t>hospitalized patient to HCP</w:t>
      </w:r>
      <w:r w:rsidR="00866F29">
        <w:rPr>
          <w:rFonts w:cstheme="minorHAnsi"/>
          <w:b/>
          <w:bCs/>
        </w:rPr>
        <w:t xml:space="preserve"> in the U</w:t>
      </w:r>
      <w:r w:rsidR="008D17B5">
        <w:rPr>
          <w:rFonts w:cstheme="minorHAnsi"/>
          <w:b/>
          <w:bCs/>
        </w:rPr>
        <w:t xml:space="preserve">nited </w:t>
      </w:r>
      <w:r w:rsidR="00866F29">
        <w:rPr>
          <w:rFonts w:cstheme="minorHAnsi"/>
          <w:b/>
          <w:bCs/>
        </w:rPr>
        <w:t>S</w:t>
      </w:r>
      <w:r w:rsidR="008D17B5">
        <w:rPr>
          <w:rFonts w:cstheme="minorHAnsi"/>
          <w:b/>
          <w:bCs/>
        </w:rPr>
        <w:t>tates</w:t>
      </w:r>
      <w:r w:rsidRPr="00E61B21">
        <w:rPr>
          <w:rFonts w:cstheme="minorHAnsi"/>
          <w:b/>
          <w:bCs/>
        </w:rPr>
        <w:t xml:space="preserve">. </w:t>
      </w:r>
      <w:r w:rsidR="4606E298" w:rsidRPr="00E61B21">
        <w:rPr>
          <w:rFonts w:cstheme="minorHAnsi"/>
          <w:b/>
          <w:bCs/>
        </w:rPr>
        <w:t>The g</w:t>
      </w:r>
      <w:r w:rsidRPr="00E61B21">
        <w:rPr>
          <w:rFonts w:cstheme="minorHAnsi"/>
          <w:b/>
          <w:bCs/>
        </w:rPr>
        <w:t>reatest risk is prolonged unprotected close care</w:t>
      </w:r>
      <w:r w:rsidR="00044363">
        <w:rPr>
          <w:rFonts w:cstheme="minorHAnsi"/>
          <w:b/>
          <w:bCs/>
        </w:rPr>
        <w:t xml:space="preserve"> for the case patient</w:t>
      </w:r>
      <w:r w:rsidRPr="00E61B21">
        <w:rPr>
          <w:rFonts w:cstheme="minorHAnsi"/>
          <w:b/>
          <w:bCs/>
        </w:rPr>
        <w:t xml:space="preserve">. </w:t>
      </w:r>
    </w:p>
    <w:p w14:paraId="09A5FC14" w14:textId="77777777" w:rsidR="009E1238" w:rsidRPr="00171894" w:rsidRDefault="009E1238" w:rsidP="00F05ADE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3E95DB2C" w14:textId="77777777" w:rsidR="005A63D3" w:rsidRPr="00E61B21" w:rsidRDefault="005A63D3" w:rsidP="00F05ADE">
      <w:pPr>
        <w:spacing w:after="0" w:line="240" w:lineRule="auto"/>
        <w:rPr>
          <w:rFonts w:cstheme="minorHAnsi"/>
          <w:b/>
          <w:u w:val="single"/>
        </w:rPr>
      </w:pPr>
      <w:r w:rsidRPr="00E61B21">
        <w:rPr>
          <w:rFonts w:cstheme="minorHAnsi"/>
          <w:b/>
          <w:u w:val="single"/>
        </w:rPr>
        <w:t>Infection control</w:t>
      </w:r>
    </w:p>
    <w:p w14:paraId="04ADA11C" w14:textId="1F3CFB54" w:rsidR="005A63D3" w:rsidRPr="00E61B21" w:rsidRDefault="005A63D3" w:rsidP="005A63D3">
      <w:pPr>
        <w:pStyle w:val="CommentText"/>
        <w:numPr>
          <w:ilvl w:val="0"/>
          <w:numId w:val="2"/>
        </w:numPr>
        <w:spacing w:after="0" w:line="276" w:lineRule="auto"/>
        <w:rPr>
          <w:rFonts w:eastAsia="Times New Roman" w:cstheme="minorHAnsi"/>
          <w:color w:val="000000"/>
          <w:sz w:val="22"/>
          <w:szCs w:val="22"/>
          <w:lang w:val="en"/>
        </w:rPr>
      </w:pPr>
      <w:r w:rsidRPr="00E61B21">
        <w:rPr>
          <w:rFonts w:cstheme="minorHAnsi"/>
          <w:sz w:val="22"/>
          <w:szCs w:val="22"/>
        </w:rPr>
        <w:t xml:space="preserve">Standard, contact, and airborne isolation precautions are recommended by CDC for all persons under investigation for novel influenza A virus infection. </w:t>
      </w:r>
    </w:p>
    <w:p w14:paraId="32BF6E5A" w14:textId="77777777" w:rsidR="000141C1" w:rsidRPr="00E61B21" w:rsidRDefault="00BB471E" w:rsidP="00480EE7">
      <w:pPr>
        <w:pStyle w:val="CommentText"/>
        <w:numPr>
          <w:ilvl w:val="1"/>
          <w:numId w:val="2"/>
        </w:numPr>
        <w:spacing w:after="0" w:line="276" w:lineRule="auto"/>
        <w:rPr>
          <w:rFonts w:eastAsia="Times New Roman" w:cstheme="minorHAnsi"/>
          <w:color w:val="000000"/>
          <w:sz w:val="22"/>
          <w:szCs w:val="22"/>
          <w:lang w:val="en"/>
        </w:rPr>
      </w:pPr>
      <w:r w:rsidRPr="00E61B21">
        <w:rPr>
          <w:rFonts w:cstheme="minorHAnsi"/>
          <w:sz w:val="22"/>
          <w:szCs w:val="22"/>
        </w:rPr>
        <w:t>T</w:t>
      </w:r>
      <w:r w:rsidR="005A63D3" w:rsidRPr="00E61B21">
        <w:rPr>
          <w:rFonts w:cstheme="minorHAnsi"/>
          <w:sz w:val="22"/>
          <w:szCs w:val="22"/>
        </w:rPr>
        <w:t xml:space="preserve">he patient should be </w:t>
      </w:r>
      <w:r w:rsidR="005A63D3" w:rsidRPr="00E61B21">
        <w:rPr>
          <w:rFonts w:eastAsia="Times New Roman" w:cstheme="minorHAnsi"/>
          <w:color w:val="000000" w:themeColor="text1"/>
          <w:sz w:val="22"/>
          <w:szCs w:val="22"/>
          <w:lang w:val="en"/>
        </w:rPr>
        <w:t xml:space="preserve">placed in an airborne infection isolation room (AIIR, i.e. negative pressure) </w:t>
      </w:r>
    </w:p>
    <w:p w14:paraId="5BCF21DC" w14:textId="14C6B15E" w:rsidR="005A63D3" w:rsidRPr="00E61B21" w:rsidRDefault="000141C1" w:rsidP="00480EE7">
      <w:pPr>
        <w:pStyle w:val="CommentText"/>
        <w:numPr>
          <w:ilvl w:val="1"/>
          <w:numId w:val="2"/>
        </w:numPr>
        <w:spacing w:after="0" w:line="276" w:lineRule="auto"/>
        <w:rPr>
          <w:rFonts w:eastAsia="Times New Roman" w:cstheme="minorHAnsi"/>
          <w:color w:val="000000"/>
          <w:sz w:val="22"/>
          <w:szCs w:val="22"/>
          <w:lang w:val="en"/>
        </w:rPr>
      </w:pPr>
      <w:r w:rsidRPr="00E61B21">
        <w:rPr>
          <w:rFonts w:cstheme="minorHAnsi"/>
          <w:sz w:val="22"/>
          <w:szCs w:val="22"/>
        </w:rPr>
        <w:t>Staff</w:t>
      </w:r>
      <w:r w:rsidR="005A63D3" w:rsidRPr="00E61B21">
        <w:rPr>
          <w:rFonts w:eastAsia="Times New Roman" w:cstheme="minorHAnsi"/>
          <w:color w:val="000000" w:themeColor="text1"/>
          <w:sz w:val="22"/>
          <w:szCs w:val="22"/>
          <w:lang w:val="en"/>
        </w:rPr>
        <w:t xml:space="preserve"> should use appropriate PPE with a respirator (fit</w:t>
      </w:r>
      <w:r w:rsidR="5F6E8D18" w:rsidRPr="00E61B21">
        <w:rPr>
          <w:rFonts w:eastAsia="Times New Roman" w:cstheme="minorHAnsi"/>
          <w:color w:val="000000" w:themeColor="text1"/>
          <w:sz w:val="22"/>
          <w:szCs w:val="22"/>
          <w:lang w:val="en"/>
        </w:rPr>
        <w:t>-test</w:t>
      </w:r>
      <w:r w:rsidR="005A63D3" w:rsidRPr="00E61B21">
        <w:rPr>
          <w:rFonts w:eastAsia="Times New Roman" w:cstheme="minorHAnsi"/>
          <w:color w:val="000000" w:themeColor="text1"/>
          <w:sz w:val="22"/>
          <w:szCs w:val="22"/>
          <w:lang w:val="en"/>
        </w:rPr>
        <w:t xml:space="preserve">ed </w:t>
      </w:r>
      <w:r w:rsidR="00DC7EE0" w:rsidRPr="00E61B21">
        <w:rPr>
          <w:rFonts w:eastAsia="Times New Roman" w:cstheme="minorHAnsi"/>
          <w:color w:val="000000" w:themeColor="text1"/>
          <w:sz w:val="22"/>
          <w:szCs w:val="22"/>
          <w:lang w:val="en"/>
        </w:rPr>
        <w:t xml:space="preserve">NIOSH approved disposable N-95 filtering facepiece </w:t>
      </w:r>
      <w:r w:rsidR="005A63D3" w:rsidRPr="00E61B21">
        <w:rPr>
          <w:rFonts w:eastAsia="Times New Roman" w:cstheme="minorHAnsi"/>
          <w:color w:val="000000" w:themeColor="text1"/>
          <w:sz w:val="22"/>
          <w:szCs w:val="22"/>
          <w:lang w:val="en"/>
        </w:rPr>
        <w:t xml:space="preserve">or powered air purifying respirator), eye protection, gown, and gloves. </w:t>
      </w:r>
      <w:r w:rsidR="005A63D3" w:rsidRPr="00E61B21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</w:p>
    <w:p w14:paraId="0C31FA74" w14:textId="69DB6388" w:rsidR="007A2CD2" w:rsidRPr="00E61B21" w:rsidRDefault="007A2CD2" w:rsidP="003471BB">
      <w:pPr>
        <w:pStyle w:val="ListParagraph"/>
        <w:numPr>
          <w:ilvl w:val="0"/>
          <w:numId w:val="2"/>
        </w:numPr>
        <w:spacing w:after="0"/>
        <w:rPr>
          <w:rFonts w:eastAsia="Times New Roman" w:cstheme="minorHAnsi"/>
          <w:color w:val="000000"/>
          <w:lang w:val="en"/>
        </w:rPr>
      </w:pPr>
      <w:r w:rsidRPr="00E61B21">
        <w:rPr>
          <w:rFonts w:eastAsia="Times New Roman" w:cstheme="minorHAnsi"/>
          <w:color w:val="000000"/>
          <w:lang w:val="en"/>
        </w:rPr>
        <w:t>Facilities should consider dedicating HCP caring for these patients to minimize risk of transmission and exposure to other patients and other HCP.</w:t>
      </w:r>
    </w:p>
    <w:p w14:paraId="664F2AF8" w14:textId="77777777" w:rsidR="009954CC" w:rsidRPr="00171894" w:rsidRDefault="009954CC" w:rsidP="009954CC">
      <w:pPr>
        <w:pStyle w:val="CommentText"/>
        <w:spacing w:after="0" w:line="276" w:lineRule="auto"/>
        <w:rPr>
          <w:rFonts w:eastAsia="Times New Roman" w:cstheme="minorHAnsi"/>
          <w:color w:val="000000"/>
          <w:sz w:val="16"/>
          <w:szCs w:val="16"/>
          <w:lang w:val="en"/>
        </w:rPr>
      </w:pPr>
    </w:p>
    <w:p w14:paraId="05620EB7" w14:textId="449682AB" w:rsidR="009954CC" w:rsidRPr="00E61B21" w:rsidRDefault="0026557A" w:rsidP="009954CC">
      <w:pPr>
        <w:pStyle w:val="CommentText"/>
        <w:spacing w:after="0" w:line="276" w:lineRule="auto"/>
        <w:rPr>
          <w:rFonts w:eastAsia="Times New Roman" w:cstheme="minorHAnsi"/>
          <w:b/>
          <w:bCs/>
          <w:color w:val="000000"/>
          <w:sz w:val="22"/>
          <w:szCs w:val="22"/>
          <w:u w:val="single"/>
          <w:lang w:val="en"/>
        </w:rPr>
      </w:pPr>
      <w:r w:rsidRPr="00E61B21"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n"/>
        </w:rPr>
        <w:t>HCP e</w:t>
      </w:r>
      <w:r w:rsidR="009954CC" w:rsidRPr="00E61B21"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n"/>
        </w:rPr>
        <w:t>xposure definition</w:t>
      </w:r>
    </w:p>
    <w:p w14:paraId="4403837A" w14:textId="1639F585" w:rsidR="00D145AC" w:rsidRPr="00010FF4" w:rsidRDefault="0026557A" w:rsidP="59945628">
      <w:pPr>
        <w:pStyle w:val="CommentText"/>
        <w:numPr>
          <w:ilvl w:val="0"/>
          <w:numId w:val="2"/>
        </w:numPr>
        <w:spacing w:after="0" w:line="276" w:lineRule="auto"/>
        <w:rPr>
          <w:rFonts w:eastAsia="Times New Roman" w:cstheme="minorHAnsi"/>
          <w:color w:val="000000"/>
          <w:sz w:val="22"/>
          <w:szCs w:val="22"/>
        </w:rPr>
      </w:pPr>
      <w:r w:rsidRPr="00E61B21">
        <w:rPr>
          <w:rFonts w:eastAsia="Times New Roman" w:cstheme="minorHAnsi"/>
          <w:color w:val="000000" w:themeColor="text1"/>
          <w:sz w:val="22"/>
          <w:szCs w:val="22"/>
        </w:rPr>
        <w:t>HCPs</w:t>
      </w:r>
      <w:r w:rsidR="00C84C28" w:rsidRPr="00E61B21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 w:rsidR="00000CDD" w:rsidRPr="00E61B21">
        <w:rPr>
          <w:rFonts w:eastAsia="Times New Roman" w:cstheme="minorHAnsi"/>
          <w:color w:val="000000" w:themeColor="text1"/>
          <w:sz w:val="22"/>
          <w:szCs w:val="22"/>
        </w:rPr>
        <w:t xml:space="preserve">within </w:t>
      </w:r>
      <w:r w:rsidR="00044363">
        <w:rPr>
          <w:rFonts w:eastAsia="Times New Roman" w:cstheme="minorHAnsi"/>
          <w:color w:val="000000" w:themeColor="text1"/>
          <w:sz w:val="22"/>
          <w:szCs w:val="22"/>
        </w:rPr>
        <w:t>6</w:t>
      </w:r>
      <w:r w:rsidR="00000CDD" w:rsidRPr="00E61B21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 w:rsidR="004474E0">
        <w:rPr>
          <w:rFonts w:eastAsia="Times New Roman" w:cstheme="minorHAnsi"/>
          <w:color w:val="000000" w:themeColor="text1"/>
          <w:sz w:val="22"/>
          <w:szCs w:val="22"/>
        </w:rPr>
        <w:t>feet</w:t>
      </w:r>
      <w:r w:rsidR="00000CDD" w:rsidRPr="00E61B21">
        <w:rPr>
          <w:rFonts w:eastAsia="Times New Roman" w:cstheme="minorHAnsi"/>
          <w:color w:val="000000" w:themeColor="text1"/>
          <w:sz w:val="22"/>
          <w:szCs w:val="22"/>
        </w:rPr>
        <w:t xml:space="preserve"> of </w:t>
      </w:r>
      <w:r w:rsidR="00154899">
        <w:rPr>
          <w:rFonts w:eastAsia="Times New Roman" w:cstheme="minorHAnsi"/>
          <w:color w:val="000000" w:themeColor="text1"/>
          <w:sz w:val="22"/>
          <w:szCs w:val="22"/>
        </w:rPr>
        <w:t>a</w:t>
      </w:r>
      <w:r w:rsidR="00AF57E4" w:rsidRPr="00E61B21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 w:rsidR="00000CDD" w:rsidRPr="00E61B21">
        <w:rPr>
          <w:rFonts w:eastAsia="Times New Roman" w:cstheme="minorHAnsi"/>
          <w:color w:val="000000" w:themeColor="text1"/>
          <w:sz w:val="22"/>
          <w:szCs w:val="22"/>
        </w:rPr>
        <w:t xml:space="preserve">patient with </w:t>
      </w:r>
      <w:r w:rsidR="00520703">
        <w:rPr>
          <w:rFonts w:eastAsia="Times New Roman" w:cstheme="minorHAnsi"/>
          <w:color w:val="000000" w:themeColor="text1"/>
          <w:sz w:val="22"/>
          <w:szCs w:val="22"/>
        </w:rPr>
        <w:t>suspected</w:t>
      </w:r>
      <w:r w:rsidR="13AA8C6D" w:rsidRPr="00E61B21">
        <w:rPr>
          <w:rFonts w:eastAsia="Times New Roman" w:cstheme="minorHAnsi"/>
          <w:color w:val="000000" w:themeColor="text1"/>
          <w:sz w:val="22"/>
          <w:szCs w:val="22"/>
          <w:lang w:val="en"/>
        </w:rPr>
        <w:t xml:space="preserve"> or confirmed </w:t>
      </w:r>
      <w:r w:rsidR="00000CDD" w:rsidRPr="00E61B21">
        <w:rPr>
          <w:rFonts w:eastAsia="Times New Roman" w:cstheme="minorHAnsi"/>
          <w:color w:val="000000" w:themeColor="text1"/>
          <w:sz w:val="22"/>
          <w:szCs w:val="22"/>
        </w:rPr>
        <w:t>novel influenza A virus</w:t>
      </w:r>
      <w:r w:rsidR="002F13EF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 w:rsidR="001E42BE">
        <w:rPr>
          <w:rFonts w:eastAsia="Times New Roman" w:cstheme="minorHAnsi"/>
          <w:color w:val="000000" w:themeColor="text1"/>
          <w:sz w:val="22"/>
          <w:szCs w:val="22"/>
        </w:rPr>
        <w:t>infect</w:t>
      </w:r>
      <w:r w:rsidR="001F49CD">
        <w:rPr>
          <w:rFonts w:eastAsia="Times New Roman" w:cstheme="minorHAnsi"/>
          <w:color w:val="000000" w:themeColor="text1"/>
          <w:sz w:val="22"/>
          <w:szCs w:val="22"/>
        </w:rPr>
        <w:t xml:space="preserve">ion </w:t>
      </w:r>
      <w:r w:rsidR="002F13EF">
        <w:rPr>
          <w:rFonts w:eastAsia="Times New Roman" w:cstheme="minorHAnsi"/>
          <w:color w:val="000000" w:themeColor="text1"/>
          <w:sz w:val="22"/>
          <w:szCs w:val="22"/>
        </w:rPr>
        <w:t>during the patient’s infectious period (defined as one day prior to symptom onset and through duration of hospitalization; sampling of the lower airway may be considered to establish end of disease with negative influenza PCR)</w:t>
      </w:r>
      <w:r w:rsidR="001C5FE7">
        <w:rPr>
          <w:rFonts w:eastAsia="Times New Roman" w:cstheme="minorHAnsi"/>
          <w:color w:val="000000" w:themeColor="text1"/>
          <w:sz w:val="22"/>
          <w:szCs w:val="22"/>
        </w:rPr>
        <w:t xml:space="preserve">. </w:t>
      </w:r>
    </w:p>
    <w:p w14:paraId="28D49048" w14:textId="24B72483" w:rsidR="00E60982" w:rsidRPr="00E61B21" w:rsidRDefault="001C5FE7" w:rsidP="59945628">
      <w:pPr>
        <w:pStyle w:val="CommentText"/>
        <w:numPr>
          <w:ilvl w:val="0"/>
          <w:numId w:val="2"/>
        </w:numPr>
        <w:spacing w:after="0" w:line="276" w:lineRule="auto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 w:themeColor="text1"/>
          <w:sz w:val="22"/>
          <w:szCs w:val="22"/>
        </w:rPr>
        <w:t>HCP who had contact with the patient</w:t>
      </w:r>
      <w:r w:rsidR="00000CDD" w:rsidRPr="00E61B21">
        <w:rPr>
          <w:rFonts w:eastAsia="Times New Roman" w:cstheme="minorHAnsi"/>
          <w:color w:val="000000" w:themeColor="text1"/>
          <w:sz w:val="22"/>
          <w:szCs w:val="22"/>
        </w:rPr>
        <w:t xml:space="preserve"> without the use of recommended r</w:t>
      </w:r>
      <w:r w:rsidR="00FE199E" w:rsidRPr="00E61B21">
        <w:rPr>
          <w:rFonts w:eastAsia="Times New Roman" w:cstheme="minorHAnsi"/>
          <w:color w:val="000000" w:themeColor="text1"/>
          <w:sz w:val="22"/>
          <w:szCs w:val="22"/>
        </w:rPr>
        <w:t xml:space="preserve">espirator </w:t>
      </w:r>
      <w:r w:rsidR="004755E3">
        <w:rPr>
          <w:rFonts w:eastAsia="Times New Roman" w:cstheme="minorHAnsi"/>
          <w:color w:val="000000" w:themeColor="text1"/>
          <w:sz w:val="22"/>
          <w:szCs w:val="22"/>
        </w:rPr>
        <w:t>and</w:t>
      </w:r>
      <w:r w:rsidR="004755E3" w:rsidRPr="00E61B21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 w:rsidR="00FE199E" w:rsidRPr="00E61B21">
        <w:rPr>
          <w:rFonts w:eastAsia="Times New Roman" w:cstheme="minorHAnsi"/>
          <w:color w:val="000000" w:themeColor="text1"/>
          <w:sz w:val="22"/>
          <w:szCs w:val="22"/>
        </w:rPr>
        <w:t>eye protection</w:t>
      </w:r>
      <w:r>
        <w:rPr>
          <w:rFonts w:eastAsia="Times New Roman" w:cstheme="minorHAnsi"/>
          <w:color w:val="000000" w:themeColor="text1"/>
          <w:sz w:val="22"/>
          <w:szCs w:val="22"/>
        </w:rPr>
        <w:t xml:space="preserve"> are considered highest risk</w:t>
      </w:r>
      <w:r w:rsidR="007A37CF">
        <w:rPr>
          <w:rFonts w:eastAsia="Times New Roman" w:cstheme="minorHAnsi"/>
          <w:color w:val="000000" w:themeColor="text1"/>
          <w:sz w:val="22"/>
          <w:szCs w:val="22"/>
        </w:rPr>
        <w:t xml:space="preserve">, particularly those who had contact with aerosols or aerosol-generating </w:t>
      </w:r>
      <w:proofErr w:type="gramStart"/>
      <w:r w:rsidR="007A37CF">
        <w:rPr>
          <w:rFonts w:eastAsia="Times New Roman" w:cstheme="minorHAnsi"/>
          <w:color w:val="000000" w:themeColor="text1"/>
          <w:sz w:val="22"/>
          <w:szCs w:val="22"/>
        </w:rPr>
        <w:t>procedures, or</w:t>
      </w:r>
      <w:proofErr w:type="gramEnd"/>
      <w:r w:rsidR="007A37CF">
        <w:rPr>
          <w:rFonts w:eastAsia="Times New Roman" w:cstheme="minorHAnsi"/>
          <w:color w:val="000000" w:themeColor="text1"/>
          <w:sz w:val="22"/>
          <w:szCs w:val="22"/>
        </w:rPr>
        <w:t xml:space="preserve"> contact </w:t>
      </w:r>
      <w:r w:rsidR="00D145AC">
        <w:rPr>
          <w:rFonts w:eastAsia="Times New Roman" w:cstheme="minorHAnsi"/>
          <w:color w:val="000000" w:themeColor="text1"/>
          <w:sz w:val="22"/>
          <w:szCs w:val="22"/>
        </w:rPr>
        <w:t xml:space="preserve">with </w:t>
      </w:r>
      <w:r w:rsidR="007A37CF">
        <w:rPr>
          <w:rFonts w:eastAsia="Times New Roman" w:cstheme="minorHAnsi"/>
          <w:color w:val="000000" w:themeColor="text1"/>
          <w:sz w:val="22"/>
          <w:szCs w:val="22"/>
        </w:rPr>
        <w:t>the patient while on an open circuit ventilator or ventilator without HEPA filtration</w:t>
      </w:r>
      <w:r>
        <w:rPr>
          <w:rFonts w:eastAsia="Times New Roman" w:cstheme="minorHAnsi"/>
          <w:color w:val="000000" w:themeColor="text1"/>
          <w:sz w:val="22"/>
          <w:szCs w:val="22"/>
        </w:rPr>
        <w:t>.</w:t>
      </w:r>
      <w:r w:rsidR="0095413C">
        <w:rPr>
          <w:rFonts w:eastAsia="Times New Roman" w:cstheme="minorHAnsi"/>
          <w:color w:val="000000" w:themeColor="text1"/>
          <w:sz w:val="22"/>
          <w:szCs w:val="22"/>
        </w:rPr>
        <w:t xml:space="preserve"> Further stratification of risk is defined below.</w:t>
      </w:r>
    </w:p>
    <w:p w14:paraId="7F65EFCE" w14:textId="77777777" w:rsidR="005A63D3" w:rsidRPr="00171894" w:rsidRDefault="005A63D3" w:rsidP="00F05ADE">
      <w:pPr>
        <w:spacing w:after="0" w:line="240" w:lineRule="auto"/>
        <w:rPr>
          <w:rFonts w:cstheme="minorHAnsi"/>
          <w:b/>
          <w:sz w:val="16"/>
          <w:szCs w:val="16"/>
          <w:u w:val="single"/>
        </w:rPr>
      </w:pPr>
    </w:p>
    <w:p w14:paraId="361908C6" w14:textId="0754148B" w:rsidR="00FA1FEC" w:rsidRPr="00E61B21" w:rsidRDefault="00947AD1" w:rsidP="00F05ADE">
      <w:pPr>
        <w:spacing w:after="0" w:line="240" w:lineRule="auto"/>
        <w:rPr>
          <w:rFonts w:cstheme="minorHAnsi"/>
          <w:b/>
          <w:u w:val="single"/>
        </w:rPr>
      </w:pPr>
      <w:r w:rsidRPr="00E61B21">
        <w:rPr>
          <w:rFonts w:cstheme="minorHAnsi"/>
          <w:b/>
          <w:u w:val="single"/>
        </w:rPr>
        <w:t>Identify</w:t>
      </w:r>
      <w:r w:rsidR="00BA1830" w:rsidRPr="00E61B21">
        <w:rPr>
          <w:rFonts w:cstheme="minorHAnsi"/>
          <w:b/>
          <w:u w:val="single"/>
        </w:rPr>
        <w:t xml:space="preserve"> HC</w:t>
      </w:r>
      <w:r w:rsidR="0037523E" w:rsidRPr="00E61B21">
        <w:rPr>
          <w:rFonts w:cstheme="minorHAnsi"/>
          <w:b/>
          <w:u w:val="single"/>
        </w:rPr>
        <w:t>P</w:t>
      </w:r>
      <w:r w:rsidRPr="00E61B21">
        <w:rPr>
          <w:rFonts w:cstheme="minorHAnsi"/>
          <w:b/>
          <w:u w:val="single"/>
        </w:rPr>
        <w:t xml:space="preserve"> exposures</w:t>
      </w:r>
      <w:r w:rsidR="002F13EF">
        <w:rPr>
          <w:rFonts w:cstheme="minorHAnsi"/>
          <w:b/>
          <w:u w:val="single"/>
        </w:rPr>
        <w:t xml:space="preserve"> and initiate post-exposure prophylaxis</w:t>
      </w:r>
    </w:p>
    <w:p w14:paraId="1C3592DC" w14:textId="0504AC8A" w:rsidR="005257BD" w:rsidRPr="00E61B21" w:rsidRDefault="005257BD" w:rsidP="59945628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E61B21">
        <w:rPr>
          <w:rFonts w:cstheme="minorHAnsi"/>
        </w:rPr>
        <w:t xml:space="preserve">The healthcare facility should </w:t>
      </w:r>
      <w:r w:rsidR="005A2175" w:rsidRPr="00E61B21">
        <w:rPr>
          <w:rFonts w:cstheme="minorHAnsi"/>
        </w:rPr>
        <w:t xml:space="preserve">track all </w:t>
      </w:r>
      <w:r w:rsidR="00AF57E4">
        <w:rPr>
          <w:rFonts w:cstheme="minorHAnsi"/>
        </w:rPr>
        <w:t xml:space="preserve">exposed </w:t>
      </w:r>
      <w:r w:rsidR="005A2175" w:rsidRPr="00E61B21">
        <w:rPr>
          <w:rFonts w:cstheme="minorHAnsi"/>
        </w:rPr>
        <w:t>HCP</w:t>
      </w:r>
      <w:r w:rsidR="003E012C">
        <w:rPr>
          <w:rFonts w:cstheme="minorHAnsi"/>
        </w:rPr>
        <w:t xml:space="preserve"> (e.g., clinicians, environmental services workers, food service)</w:t>
      </w:r>
      <w:r w:rsidR="005A2175" w:rsidRPr="00E61B21">
        <w:rPr>
          <w:rFonts w:cstheme="minorHAnsi"/>
        </w:rPr>
        <w:t xml:space="preserve"> </w:t>
      </w:r>
      <w:r w:rsidRPr="00E61B21">
        <w:rPr>
          <w:rFonts w:cstheme="minorHAnsi"/>
        </w:rPr>
        <w:t>and report the line list to the LHJ</w:t>
      </w:r>
      <w:r w:rsidR="00ED2069">
        <w:rPr>
          <w:rFonts w:cstheme="minorHAnsi"/>
        </w:rPr>
        <w:t>.</w:t>
      </w:r>
    </w:p>
    <w:p w14:paraId="53F9F72C" w14:textId="0FD9819F" w:rsidR="18D60B10" w:rsidRDefault="18D60B10" w:rsidP="59945628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E61B21">
        <w:rPr>
          <w:rFonts w:cstheme="minorHAnsi"/>
        </w:rPr>
        <w:t>To include names, DOB, type of exposure</w:t>
      </w:r>
      <w:r w:rsidR="00A24267">
        <w:rPr>
          <w:rFonts w:cstheme="minorHAnsi"/>
        </w:rPr>
        <w:t xml:space="preserve"> (including unprotected vs. protected)</w:t>
      </w:r>
      <w:r w:rsidRPr="00E61B21">
        <w:rPr>
          <w:rFonts w:cstheme="minorHAnsi"/>
        </w:rPr>
        <w:t>, dates of exposure, contact information</w:t>
      </w:r>
    </w:p>
    <w:p w14:paraId="09592667" w14:textId="2431AF57" w:rsidR="00774116" w:rsidRPr="00E61B21" w:rsidRDefault="00774116" w:rsidP="00010FF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  <w:u w:val="single"/>
        </w:rPr>
      </w:pPr>
      <w:r>
        <w:rPr>
          <w:rFonts w:cstheme="minorHAnsi"/>
          <w:bCs/>
        </w:rPr>
        <w:t>Oseltamivir PEP should begin as soon as possible (ideally within 48 hours) after first exposure but can be considered for asy</w:t>
      </w:r>
      <w:r w:rsidR="00997792">
        <w:rPr>
          <w:rFonts w:cstheme="minorHAnsi"/>
          <w:bCs/>
        </w:rPr>
        <w:t>mptomatic exposed HCP who are still within 10 days of last exposure.</w:t>
      </w:r>
    </w:p>
    <w:p w14:paraId="438E8FE3" w14:textId="77777777" w:rsidR="0091456A" w:rsidRPr="00171894" w:rsidRDefault="0091456A" w:rsidP="00F05ADE">
      <w:pPr>
        <w:spacing w:after="0" w:line="240" w:lineRule="auto"/>
        <w:rPr>
          <w:rFonts w:cstheme="minorHAnsi"/>
          <w:b/>
          <w:sz w:val="16"/>
          <w:szCs w:val="16"/>
          <w:u w:val="single"/>
        </w:rPr>
      </w:pPr>
    </w:p>
    <w:p w14:paraId="37A5D355" w14:textId="52F0FD5E" w:rsidR="0091456A" w:rsidRPr="00E61B21" w:rsidRDefault="0091456A" w:rsidP="00F05ADE">
      <w:pPr>
        <w:spacing w:after="0" w:line="240" w:lineRule="auto"/>
        <w:rPr>
          <w:rFonts w:cstheme="minorHAnsi"/>
          <w:b/>
          <w:u w:val="single"/>
        </w:rPr>
      </w:pPr>
      <w:r w:rsidRPr="00E61B21">
        <w:rPr>
          <w:rFonts w:cstheme="minorHAnsi"/>
          <w:b/>
          <w:u w:val="single"/>
        </w:rPr>
        <w:t>HCP symptom monitoring</w:t>
      </w:r>
    </w:p>
    <w:p w14:paraId="31085456" w14:textId="1F5BE0D5" w:rsidR="00F05ADE" w:rsidRPr="00E61B21" w:rsidRDefault="004B49A4" w:rsidP="000C66FD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E61B21">
        <w:rPr>
          <w:rFonts w:cstheme="minorHAnsi"/>
          <w:b/>
          <w:bCs/>
        </w:rPr>
        <w:t>ALL</w:t>
      </w:r>
      <w:r w:rsidR="00047FE0" w:rsidRPr="00E61B21">
        <w:rPr>
          <w:rFonts w:cstheme="minorHAnsi"/>
        </w:rPr>
        <w:t xml:space="preserve"> HCP should</w:t>
      </w:r>
      <w:r w:rsidR="00AE2E89" w:rsidRPr="00E61B21">
        <w:rPr>
          <w:rFonts w:cstheme="minorHAnsi"/>
        </w:rPr>
        <w:t xml:space="preserve"> be under symptom monitoring </w:t>
      </w:r>
      <w:r w:rsidR="00F05ADE" w:rsidRPr="00E61B21">
        <w:rPr>
          <w:rFonts w:cstheme="minorHAnsi"/>
        </w:rPr>
        <w:t>for 10 days f</w:t>
      </w:r>
      <w:r w:rsidR="00E944C2" w:rsidRPr="00E61B21">
        <w:rPr>
          <w:rFonts w:cstheme="minorHAnsi"/>
        </w:rPr>
        <w:t>ollowing</w:t>
      </w:r>
      <w:r w:rsidR="00F05ADE" w:rsidRPr="00E61B21">
        <w:rPr>
          <w:rFonts w:cstheme="minorHAnsi"/>
        </w:rPr>
        <w:t xml:space="preserve"> last exposure</w:t>
      </w:r>
      <w:r w:rsidR="00AE2E89" w:rsidRPr="00E61B21">
        <w:rPr>
          <w:rFonts w:cstheme="minorHAnsi"/>
        </w:rPr>
        <w:t>, regardless of appropriate PPE use or isolation</w:t>
      </w:r>
      <w:r w:rsidR="00ED2069">
        <w:rPr>
          <w:rFonts w:cstheme="minorHAnsi"/>
        </w:rPr>
        <w:t>.</w:t>
      </w:r>
    </w:p>
    <w:p w14:paraId="3EE55FCD" w14:textId="263AD69C" w:rsidR="00CB4B94" w:rsidRPr="00E61B21" w:rsidRDefault="00CB4B94" w:rsidP="00CB4B94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E61B21">
        <w:rPr>
          <w:rFonts w:cstheme="minorHAnsi"/>
        </w:rPr>
        <w:t>Unprotected exposure should be identified</w:t>
      </w:r>
      <w:r w:rsidR="00762E36" w:rsidRPr="00E61B21">
        <w:rPr>
          <w:rFonts w:cstheme="minorHAnsi"/>
        </w:rPr>
        <w:t xml:space="preserve"> on the line list</w:t>
      </w:r>
    </w:p>
    <w:p w14:paraId="69AE4629" w14:textId="4BCB2F4B" w:rsidR="005D1292" w:rsidRPr="00E61B21" w:rsidRDefault="005D1292" w:rsidP="00CB4B94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E61B21">
        <w:rPr>
          <w:rFonts w:cstheme="minorHAnsi"/>
        </w:rPr>
        <w:t xml:space="preserve">For clinical criteria </w:t>
      </w:r>
      <w:hyperlink r:id="rId11" w:history="1">
        <w:r w:rsidRPr="00E61B21">
          <w:rPr>
            <w:rStyle w:val="Hyperlink"/>
            <w:rFonts w:asciiTheme="minorHAnsi" w:hAnsiTheme="minorHAnsi" w:cstheme="minorHAnsi"/>
            <w:color w:val="0070C0"/>
          </w:rPr>
          <w:t>Highly Pathogenic Avian Influenza A(H5N1) Virus: Interim Recommendations for Prevention, Monitoring, and Public Health Investigations | Bird Flu | CDC</w:t>
        </w:r>
      </w:hyperlink>
    </w:p>
    <w:p w14:paraId="344B71F1" w14:textId="77777777" w:rsidR="00550B23" w:rsidRPr="00E61B21" w:rsidRDefault="00550B23" w:rsidP="00550B23">
      <w:pPr>
        <w:spacing w:after="0" w:line="240" w:lineRule="auto"/>
        <w:rPr>
          <w:rFonts w:cstheme="minorHAnsi"/>
        </w:rPr>
      </w:pPr>
    </w:p>
    <w:tbl>
      <w:tblPr>
        <w:tblStyle w:val="TableGrid"/>
        <w:tblW w:w="10790" w:type="dxa"/>
        <w:tblInd w:w="0" w:type="dxa"/>
        <w:tblLook w:val="04A0" w:firstRow="1" w:lastRow="0" w:firstColumn="1" w:lastColumn="0" w:noHBand="0" w:noVBand="1"/>
      </w:tblPr>
      <w:tblGrid>
        <w:gridCol w:w="1255"/>
        <w:gridCol w:w="9535"/>
      </w:tblGrid>
      <w:tr w:rsidR="009F2B0A" w:rsidRPr="00310F34" w14:paraId="032D81D0" w14:textId="77777777" w:rsidTr="0099293A">
        <w:tc>
          <w:tcPr>
            <w:tcW w:w="1255" w:type="dxa"/>
          </w:tcPr>
          <w:p w14:paraId="4D0F0EFA" w14:textId="4BC31AA1" w:rsidR="009F2B0A" w:rsidRPr="00310F34" w:rsidRDefault="0099293A" w:rsidP="00550B23">
            <w:pPr>
              <w:rPr>
                <w:rFonts w:cstheme="minorHAnsi"/>
              </w:rPr>
            </w:pPr>
            <w:r w:rsidRPr="00310F34">
              <w:rPr>
                <w:rFonts w:cstheme="minorHAnsi"/>
              </w:rPr>
              <w:t xml:space="preserve">Option </w:t>
            </w:r>
            <w:r w:rsidR="009F2B0A" w:rsidRPr="00310F34">
              <w:rPr>
                <w:rFonts w:cstheme="minorHAnsi"/>
              </w:rPr>
              <w:t xml:space="preserve">1: </w:t>
            </w:r>
          </w:p>
        </w:tc>
        <w:tc>
          <w:tcPr>
            <w:tcW w:w="9535" w:type="dxa"/>
          </w:tcPr>
          <w:p w14:paraId="55BE5E1E" w14:textId="21206D4E" w:rsidR="009F2B0A" w:rsidRPr="00310F34" w:rsidRDefault="009F2B0A" w:rsidP="00550B23">
            <w:pPr>
              <w:rPr>
                <w:rFonts w:cstheme="minorHAnsi"/>
              </w:rPr>
            </w:pPr>
            <w:r w:rsidRPr="00310F34">
              <w:rPr>
                <w:rFonts w:cstheme="minorHAnsi"/>
              </w:rPr>
              <w:t xml:space="preserve">Furlough HCP </w:t>
            </w:r>
            <w:r w:rsidR="003B432D">
              <w:rPr>
                <w:rFonts w:cstheme="minorHAnsi"/>
              </w:rPr>
              <w:t>w</w:t>
            </w:r>
            <w:r w:rsidR="003B432D">
              <w:t>ith unprotected exposure</w:t>
            </w:r>
            <w:r w:rsidR="005B0020">
              <w:t xml:space="preserve"> </w:t>
            </w:r>
            <w:r w:rsidRPr="00310F34">
              <w:rPr>
                <w:rFonts w:cstheme="minorHAnsi"/>
              </w:rPr>
              <w:t>for 10 days from the last exposure. The healthcare facility should institute daily active symptom monitoring</w:t>
            </w:r>
            <w:r w:rsidR="005B0020">
              <w:rPr>
                <w:rFonts w:cstheme="minorHAnsi"/>
              </w:rPr>
              <w:t>.</w:t>
            </w:r>
            <w:r w:rsidR="005B0020">
              <w:t xml:space="preserve"> </w:t>
            </w:r>
          </w:p>
        </w:tc>
      </w:tr>
      <w:tr w:rsidR="007C1CC5" w:rsidRPr="00310F34" w14:paraId="7891973F" w14:textId="77777777" w:rsidTr="0099293A">
        <w:tc>
          <w:tcPr>
            <w:tcW w:w="1255" w:type="dxa"/>
          </w:tcPr>
          <w:p w14:paraId="022ACE07" w14:textId="65FF8286" w:rsidR="007C1CC5" w:rsidRPr="00310F34" w:rsidRDefault="0099293A" w:rsidP="007C1CC5">
            <w:pPr>
              <w:rPr>
                <w:rFonts w:cstheme="minorHAnsi"/>
              </w:rPr>
            </w:pPr>
            <w:r w:rsidRPr="00310F34">
              <w:rPr>
                <w:rFonts w:cstheme="minorHAnsi"/>
              </w:rPr>
              <w:t xml:space="preserve">Option </w:t>
            </w:r>
            <w:r w:rsidR="007C1CC5" w:rsidRPr="00310F34">
              <w:rPr>
                <w:rFonts w:cstheme="minorHAnsi"/>
              </w:rPr>
              <w:t xml:space="preserve">2: </w:t>
            </w:r>
          </w:p>
        </w:tc>
        <w:tc>
          <w:tcPr>
            <w:tcW w:w="9535" w:type="dxa"/>
          </w:tcPr>
          <w:p w14:paraId="06CA1CC1" w14:textId="0B6A08C7" w:rsidR="007C1CC5" w:rsidRPr="00310F34" w:rsidRDefault="007C1CC5" w:rsidP="007C1CC5">
            <w:pPr>
              <w:rPr>
                <w:rFonts w:cstheme="minorHAnsi"/>
              </w:rPr>
            </w:pPr>
            <w:r w:rsidRPr="00310F34">
              <w:rPr>
                <w:rFonts w:cstheme="minorHAnsi"/>
              </w:rPr>
              <w:t>If staffing concerns do not permit furlough, the asymptomatic healthcare personnel with lower risk exposures can continue to work. A tiered risk assessment approach may be instituted by the healthcare facility in partnership with the LHJ.</w:t>
            </w:r>
          </w:p>
          <w:p w14:paraId="05F518F5" w14:textId="5407287E" w:rsidR="007C1CC5" w:rsidRPr="00310F34" w:rsidRDefault="007C1CC5" w:rsidP="007C1CC5">
            <w:pPr>
              <w:pStyle w:val="ListParagraph"/>
              <w:numPr>
                <w:ilvl w:val="0"/>
                <w:numId w:val="1"/>
              </w:numPr>
              <w:rPr>
                <w:rFonts w:eastAsia="Calibri" w:cstheme="minorHAnsi"/>
                <w:color w:val="000000" w:themeColor="text1"/>
              </w:rPr>
            </w:pPr>
            <w:r w:rsidRPr="00310F34">
              <w:rPr>
                <w:rFonts w:eastAsia="Calibri" w:cstheme="minorHAnsi"/>
                <w:color w:val="000000" w:themeColor="text1"/>
              </w:rPr>
              <w:t xml:space="preserve">Tier 1 – high risk: HCP with </w:t>
            </w:r>
            <w:r w:rsidR="005A412F">
              <w:rPr>
                <w:rFonts w:eastAsia="Calibri" w:cstheme="minorHAnsi"/>
                <w:color w:val="000000" w:themeColor="text1"/>
              </w:rPr>
              <w:t xml:space="preserve">contact to </w:t>
            </w:r>
            <w:r w:rsidRPr="00310F34">
              <w:rPr>
                <w:rFonts w:eastAsia="Calibri" w:cstheme="minorHAnsi"/>
                <w:color w:val="000000" w:themeColor="text1"/>
              </w:rPr>
              <w:t>aerosol or aerosol</w:t>
            </w:r>
            <w:r w:rsidR="00C4549D">
              <w:rPr>
                <w:rFonts w:eastAsia="Calibri" w:cstheme="minorHAnsi"/>
                <w:color w:val="000000" w:themeColor="text1"/>
              </w:rPr>
              <w:t>-</w:t>
            </w:r>
            <w:r w:rsidRPr="00310F34">
              <w:rPr>
                <w:rFonts w:eastAsia="Calibri" w:cstheme="minorHAnsi"/>
                <w:color w:val="000000" w:themeColor="text1"/>
              </w:rPr>
              <w:t>generating procedure</w:t>
            </w:r>
            <w:r w:rsidR="005A412F">
              <w:rPr>
                <w:rFonts w:eastAsia="Calibri" w:cstheme="minorHAnsi"/>
                <w:color w:val="000000" w:themeColor="text1"/>
              </w:rPr>
              <w:t>,</w:t>
            </w:r>
            <w:r w:rsidRPr="00310F34">
              <w:rPr>
                <w:rFonts w:eastAsia="Calibri" w:cstheme="minorHAnsi"/>
                <w:color w:val="000000" w:themeColor="text1"/>
              </w:rPr>
              <w:t xml:space="preserve"> open vent</w:t>
            </w:r>
            <w:r w:rsidR="005A412F">
              <w:rPr>
                <w:rFonts w:eastAsia="Calibri" w:cstheme="minorHAnsi"/>
                <w:color w:val="000000" w:themeColor="text1"/>
              </w:rPr>
              <w:t>ilator</w:t>
            </w:r>
            <w:r w:rsidRPr="00310F34">
              <w:rPr>
                <w:rFonts w:eastAsia="Calibri" w:cstheme="minorHAnsi"/>
                <w:color w:val="000000" w:themeColor="text1"/>
              </w:rPr>
              <w:t xml:space="preserve"> circuit</w:t>
            </w:r>
            <w:r w:rsidR="005A412F">
              <w:rPr>
                <w:rFonts w:eastAsia="Calibri" w:cstheme="minorHAnsi"/>
                <w:color w:val="000000" w:themeColor="text1"/>
              </w:rPr>
              <w:t xml:space="preserve">, or ventilator </w:t>
            </w:r>
            <w:r w:rsidR="00C4549D">
              <w:rPr>
                <w:rFonts w:eastAsia="Calibri" w:cstheme="minorHAnsi"/>
                <w:color w:val="000000" w:themeColor="text1"/>
              </w:rPr>
              <w:t>with</w:t>
            </w:r>
            <w:r w:rsidRPr="00310F34">
              <w:rPr>
                <w:rFonts w:eastAsia="Calibri" w:cstheme="minorHAnsi"/>
                <w:color w:val="000000" w:themeColor="text1"/>
              </w:rPr>
              <w:t xml:space="preserve"> no HEPA filter without respirator </w:t>
            </w:r>
            <w:r w:rsidR="00B50B86">
              <w:rPr>
                <w:rFonts w:eastAsia="Calibri" w:cstheme="minorHAnsi"/>
                <w:color w:val="000000" w:themeColor="text1"/>
              </w:rPr>
              <w:t>and</w:t>
            </w:r>
            <w:r w:rsidRPr="00310F34">
              <w:rPr>
                <w:rFonts w:eastAsia="Calibri" w:cstheme="minorHAnsi"/>
                <w:color w:val="000000" w:themeColor="text1"/>
              </w:rPr>
              <w:t xml:space="preserve"> eye protection should quarantine for 10 days from the last exposure with daily active symptom monitoring.</w:t>
            </w:r>
          </w:p>
          <w:p w14:paraId="7F544A0E" w14:textId="6A3D23F5" w:rsidR="007C1CC5" w:rsidRPr="00310F34" w:rsidRDefault="007C1CC5" w:rsidP="007C1CC5">
            <w:pPr>
              <w:pStyle w:val="ListParagraph"/>
              <w:numPr>
                <w:ilvl w:val="0"/>
                <w:numId w:val="1"/>
              </w:numPr>
              <w:rPr>
                <w:rFonts w:eastAsia="Calibri" w:cstheme="minorHAnsi"/>
              </w:rPr>
            </w:pPr>
            <w:r w:rsidRPr="00310F34">
              <w:rPr>
                <w:rFonts w:eastAsia="Calibri" w:cstheme="minorHAnsi"/>
              </w:rPr>
              <w:t>Tier 1 modified - high risk: Can be considered to support adequate staffing.</w:t>
            </w:r>
          </w:p>
          <w:p w14:paraId="790801A9" w14:textId="1BE5F2F6" w:rsidR="007C1CC5" w:rsidRPr="00310F34" w:rsidRDefault="00E61B21" w:rsidP="007C1CC5">
            <w:pPr>
              <w:pStyle w:val="pf0"/>
              <w:numPr>
                <w:ilvl w:val="1"/>
                <w:numId w:val="1"/>
              </w:numPr>
              <w:rPr>
                <w:rStyle w:val="cf01"/>
                <w:rFonts w:asciiTheme="minorHAnsi" w:hAnsiTheme="minorHAnsi" w:cstheme="minorHAnsi"/>
                <w:color w:val="auto"/>
                <w:sz w:val="22"/>
                <w:szCs w:val="22"/>
                <w:shd w:val="clear" w:color="auto" w:fill="auto"/>
              </w:rPr>
            </w:pPr>
            <w:r w:rsidRPr="00310F34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N</w:t>
            </w:r>
            <w:r w:rsidR="007C1CC5" w:rsidRPr="00310F34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egative influenza molecular assay result on upper respiratory tract specimens, AND </w:t>
            </w:r>
          </w:p>
          <w:p w14:paraId="0AB9AB91" w14:textId="5D2B2325" w:rsidR="007C1CC5" w:rsidRPr="00310F34" w:rsidRDefault="00E61B21" w:rsidP="007C1CC5">
            <w:pPr>
              <w:pStyle w:val="pf0"/>
              <w:numPr>
                <w:ilvl w:val="1"/>
                <w:numId w:val="1"/>
              </w:numPr>
              <w:rPr>
                <w:rStyle w:val="cf01"/>
                <w:rFonts w:asciiTheme="minorHAnsi" w:hAnsiTheme="minorHAnsi" w:cstheme="minorBidi"/>
                <w:color w:val="auto"/>
                <w:sz w:val="22"/>
                <w:szCs w:val="22"/>
                <w:shd w:val="clear" w:color="auto" w:fill="auto"/>
              </w:rPr>
            </w:pPr>
            <w:r w:rsidRPr="4F16C2BF">
              <w:rPr>
                <w:rStyle w:val="cf01"/>
                <w:rFonts w:asciiTheme="minorHAnsi" w:hAnsiTheme="minorHAnsi" w:cstheme="minorBidi"/>
                <w:sz w:val="22"/>
                <w:szCs w:val="22"/>
              </w:rPr>
              <w:lastRenderedPageBreak/>
              <w:t>S</w:t>
            </w:r>
            <w:r w:rsidR="00566E32" w:rsidRPr="4F16C2BF">
              <w:rPr>
                <w:rStyle w:val="cf01"/>
                <w:rFonts w:asciiTheme="minorHAnsi" w:hAnsiTheme="minorHAnsi" w:cstheme="minorBidi"/>
                <w:sz w:val="22"/>
                <w:szCs w:val="22"/>
              </w:rPr>
              <w:t>t</w:t>
            </w:r>
            <w:r w:rsidR="007C1CC5" w:rsidRPr="4F16C2BF">
              <w:rPr>
                <w:rStyle w:val="cf01"/>
                <w:rFonts w:asciiTheme="minorHAnsi" w:hAnsiTheme="minorHAnsi" w:cstheme="minorBidi"/>
                <w:sz w:val="22"/>
                <w:szCs w:val="22"/>
              </w:rPr>
              <w:t xml:space="preserve">arted on post-exposure antiviral chemoprophylaxis within 2 days of the </w:t>
            </w:r>
            <w:r w:rsidR="69951EB9" w:rsidRPr="4F16C2BF">
              <w:rPr>
                <w:rStyle w:val="cf01"/>
                <w:rFonts w:asciiTheme="minorHAnsi" w:hAnsiTheme="minorHAnsi" w:cstheme="minorBidi"/>
                <w:sz w:val="22"/>
                <w:szCs w:val="22"/>
              </w:rPr>
              <w:t xml:space="preserve">most recent </w:t>
            </w:r>
            <w:r w:rsidR="007C1CC5" w:rsidRPr="4F16C2BF">
              <w:rPr>
                <w:rStyle w:val="cf01"/>
                <w:rFonts w:asciiTheme="minorHAnsi" w:hAnsiTheme="minorHAnsi" w:cstheme="minorBidi"/>
                <w:sz w:val="22"/>
                <w:szCs w:val="22"/>
              </w:rPr>
              <w:t xml:space="preserve">exposure, AND </w:t>
            </w:r>
          </w:p>
          <w:p w14:paraId="3571FC56" w14:textId="7BA8E099" w:rsidR="007C1CC5" w:rsidRPr="00310F34" w:rsidRDefault="007C1CC5" w:rsidP="007C1CC5">
            <w:pPr>
              <w:pStyle w:val="pf0"/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10F34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Wear a facemask for source contro</w:t>
            </w:r>
            <w:r w:rsidR="00E364B5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l at all times</w:t>
            </w:r>
            <w:r w:rsidRPr="00310F34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C07D30A" w14:textId="0FE1C374" w:rsidR="007C1CC5" w:rsidRPr="00310F34" w:rsidRDefault="007C1CC5" w:rsidP="007C1CC5">
            <w:pPr>
              <w:pStyle w:val="ListParagraph"/>
              <w:numPr>
                <w:ilvl w:val="0"/>
                <w:numId w:val="1"/>
              </w:numPr>
              <w:rPr>
                <w:rFonts w:eastAsia="Calibri" w:cstheme="minorHAnsi"/>
              </w:rPr>
            </w:pPr>
            <w:r w:rsidRPr="00310F34">
              <w:rPr>
                <w:rFonts w:eastAsia="Calibri" w:cstheme="minorHAnsi"/>
                <w:color w:val="000000" w:themeColor="text1"/>
              </w:rPr>
              <w:t xml:space="preserve">Tier 2 – moderate risk: Exposed HCP with eye protection and surgical mask (no </w:t>
            </w:r>
            <w:r w:rsidRPr="00310F34">
              <w:rPr>
                <w:rFonts w:eastAsia="Calibri" w:cstheme="minorHAnsi"/>
              </w:rPr>
              <w:t>respirator or not fit-tested respirator) can continue to work by wearing a face mask for source control with daily active symptom monitoring.</w:t>
            </w:r>
          </w:p>
          <w:p w14:paraId="3F2E9186" w14:textId="16BF78FF" w:rsidR="007C1CC5" w:rsidRPr="00310F34" w:rsidRDefault="007C1CC5" w:rsidP="007C1CC5">
            <w:pPr>
              <w:pStyle w:val="ListParagraph"/>
              <w:numPr>
                <w:ilvl w:val="0"/>
                <w:numId w:val="1"/>
              </w:numPr>
              <w:rPr>
                <w:rFonts w:eastAsia="Calibri" w:cstheme="minorHAnsi"/>
                <w:color w:val="000000" w:themeColor="text1"/>
              </w:rPr>
            </w:pPr>
            <w:r w:rsidRPr="00310F34">
              <w:rPr>
                <w:rFonts w:eastAsia="Calibri" w:cstheme="minorHAnsi"/>
                <w:color w:val="000000" w:themeColor="text1"/>
              </w:rPr>
              <w:t xml:space="preserve">Tier 3 – low risk: HCP with appropriate PPE use </w:t>
            </w:r>
            <w:proofErr w:type="gramStart"/>
            <w:r w:rsidRPr="00310F34">
              <w:rPr>
                <w:rFonts w:eastAsia="Calibri" w:cstheme="minorHAnsi"/>
                <w:color w:val="000000" w:themeColor="text1"/>
              </w:rPr>
              <w:t>are</w:t>
            </w:r>
            <w:proofErr w:type="gramEnd"/>
            <w:r w:rsidRPr="00310F34">
              <w:rPr>
                <w:rFonts w:eastAsia="Calibri" w:cstheme="minorHAnsi"/>
                <w:color w:val="000000" w:themeColor="text1"/>
              </w:rPr>
              <w:t xml:space="preserve"> under passive symptom monitoring and no source control required to work.</w:t>
            </w:r>
          </w:p>
        </w:tc>
      </w:tr>
    </w:tbl>
    <w:p w14:paraId="2F18DE7F" w14:textId="77777777" w:rsidR="00AB4BE7" w:rsidRPr="00171894" w:rsidRDefault="00AB4BE7" w:rsidP="000C66FD">
      <w:pPr>
        <w:spacing w:after="0"/>
        <w:rPr>
          <w:rFonts w:cstheme="minorHAnsi"/>
          <w:b/>
          <w:bCs/>
          <w:sz w:val="16"/>
          <w:szCs w:val="16"/>
          <w:u w:val="single"/>
        </w:rPr>
      </w:pPr>
    </w:p>
    <w:p w14:paraId="414181EB" w14:textId="2A919BF5" w:rsidR="00BA1830" w:rsidRPr="00E61B21" w:rsidRDefault="00BA1830" w:rsidP="000C66FD">
      <w:pPr>
        <w:spacing w:after="0"/>
        <w:rPr>
          <w:rFonts w:cstheme="minorHAnsi"/>
          <w:b/>
          <w:bCs/>
          <w:u w:val="single"/>
        </w:rPr>
      </w:pPr>
      <w:r w:rsidRPr="00E61B21">
        <w:rPr>
          <w:rFonts w:cstheme="minorHAnsi"/>
          <w:b/>
          <w:bCs/>
          <w:u w:val="single"/>
        </w:rPr>
        <w:t>Testing of symptomatic HCP</w:t>
      </w:r>
    </w:p>
    <w:p w14:paraId="4A4CCEE9" w14:textId="18BD39C8" w:rsidR="00F05ADE" w:rsidRPr="00E61B21" w:rsidRDefault="001A6B8F" w:rsidP="59945628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If an exposed HCP develops symptoms during their monitoring period, they should isolate</w:t>
      </w:r>
      <w:r w:rsidR="00F24DF5">
        <w:rPr>
          <w:rFonts w:cstheme="minorHAnsi"/>
          <w:b/>
          <w:bCs/>
        </w:rPr>
        <w:t xml:space="preserve"> themselves at home, </w:t>
      </w:r>
      <w:r w:rsidR="00C129F8">
        <w:rPr>
          <w:rFonts w:cstheme="minorHAnsi"/>
          <w:b/>
          <w:bCs/>
        </w:rPr>
        <w:t xml:space="preserve">wear source control if around others, </w:t>
      </w:r>
      <w:r>
        <w:rPr>
          <w:rFonts w:cstheme="minorHAnsi"/>
          <w:b/>
          <w:bCs/>
        </w:rPr>
        <w:t>notify occupational health</w:t>
      </w:r>
      <w:r w:rsidR="009D3C01">
        <w:rPr>
          <w:rFonts w:cstheme="minorHAnsi"/>
          <w:b/>
          <w:bCs/>
        </w:rPr>
        <w:t xml:space="preserve"> and/or the LHJ</w:t>
      </w:r>
      <w:r w:rsidR="00C129F8">
        <w:rPr>
          <w:rFonts w:cstheme="minorHAnsi"/>
          <w:b/>
          <w:bCs/>
        </w:rPr>
        <w:t>, and be excluded from work until they are no longer deemed infectious to others</w:t>
      </w:r>
      <w:r w:rsidR="009D3C01">
        <w:rPr>
          <w:rFonts w:cstheme="minorHAnsi"/>
          <w:b/>
          <w:bCs/>
        </w:rPr>
        <w:t>. Occupational health should i</w:t>
      </w:r>
      <w:r w:rsidR="00F05ADE" w:rsidRPr="00E61B21">
        <w:rPr>
          <w:rFonts w:cstheme="minorHAnsi"/>
          <w:b/>
          <w:bCs/>
        </w:rPr>
        <w:t xml:space="preserve">mmediately contact the LHJ </w:t>
      </w:r>
      <w:r w:rsidR="5C30BCF5" w:rsidRPr="00E61B21">
        <w:rPr>
          <w:rFonts w:cstheme="minorHAnsi"/>
          <w:b/>
          <w:bCs/>
        </w:rPr>
        <w:t xml:space="preserve">if symptoms develop during the monitoring period </w:t>
      </w:r>
      <w:r w:rsidR="00F05ADE" w:rsidRPr="00E61B21">
        <w:rPr>
          <w:rFonts w:cstheme="minorHAnsi"/>
          <w:b/>
          <w:bCs/>
        </w:rPr>
        <w:t>(or DOH CDE 24/7 on-call 206-418-5500 if the LHJ is unavailable) and the LHJ should immediately contact DOH CDE</w:t>
      </w:r>
      <w:r w:rsidR="009D3C01">
        <w:rPr>
          <w:rFonts w:cstheme="minorHAnsi"/>
          <w:b/>
          <w:bCs/>
        </w:rPr>
        <w:t xml:space="preserve"> to coordinate testing</w:t>
      </w:r>
      <w:r w:rsidR="00F05ADE" w:rsidRPr="00E61B21">
        <w:rPr>
          <w:rFonts w:cstheme="minorHAnsi"/>
          <w:b/>
          <w:bCs/>
        </w:rPr>
        <w:t>.</w:t>
      </w:r>
      <w:r w:rsidR="00F05ADE" w:rsidRPr="00E61B21">
        <w:rPr>
          <w:rFonts w:cstheme="minorHAnsi"/>
        </w:rPr>
        <w:t xml:space="preserve"> </w:t>
      </w:r>
    </w:p>
    <w:p w14:paraId="03BD5607" w14:textId="48D8B366" w:rsidR="00A41D25" w:rsidRPr="00E61B21" w:rsidRDefault="01D4F889" w:rsidP="5994562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E61B21">
        <w:rPr>
          <w:rFonts w:cstheme="minorHAnsi"/>
        </w:rPr>
        <w:t>H</w:t>
      </w:r>
      <w:r w:rsidR="4D7E58A3" w:rsidRPr="00E61B21">
        <w:rPr>
          <w:rFonts w:cstheme="minorHAnsi"/>
        </w:rPr>
        <w:t>CP</w:t>
      </w:r>
      <w:r w:rsidRPr="00E61B21">
        <w:rPr>
          <w:rFonts w:cstheme="minorHAnsi"/>
        </w:rPr>
        <w:t xml:space="preserve"> </w:t>
      </w:r>
      <w:r w:rsidR="4D7E58A3" w:rsidRPr="00E61B21">
        <w:rPr>
          <w:rFonts w:cstheme="minorHAnsi"/>
        </w:rPr>
        <w:t>should wear appro</w:t>
      </w:r>
      <w:r w:rsidRPr="00E61B21">
        <w:rPr>
          <w:rFonts w:cstheme="minorHAnsi"/>
        </w:rPr>
        <w:t>priate</w:t>
      </w:r>
      <w:r w:rsidR="5D3F4098" w:rsidRPr="00E61B21">
        <w:rPr>
          <w:rFonts w:cstheme="minorHAnsi"/>
        </w:rPr>
        <w:t xml:space="preserve"> </w:t>
      </w:r>
      <w:r w:rsidRPr="00E61B21">
        <w:rPr>
          <w:rFonts w:cstheme="minorHAnsi"/>
        </w:rPr>
        <w:t>PPE when collecting</w:t>
      </w:r>
      <w:r w:rsidR="54FDC7FD" w:rsidRPr="00E61B21">
        <w:rPr>
          <w:rFonts w:cstheme="minorHAnsi"/>
        </w:rPr>
        <w:t xml:space="preserve"> a specimen</w:t>
      </w:r>
    </w:p>
    <w:p w14:paraId="150FA955" w14:textId="4EBF818C" w:rsidR="00A41D25" w:rsidRPr="00E61B21" w:rsidRDefault="01D4F889" w:rsidP="59945628">
      <w:pPr>
        <w:pStyle w:val="ListParagraph"/>
        <w:numPr>
          <w:ilvl w:val="1"/>
          <w:numId w:val="2"/>
        </w:numPr>
        <w:rPr>
          <w:rFonts w:cstheme="minorHAnsi"/>
        </w:rPr>
      </w:pPr>
      <w:r w:rsidRPr="00E61B21">
        <w:rPr>
          <w:rFonts w:cstheme="minorHAnsi"/>
        </w:rPr>
        <w:t xml:space="preserve">Consider </w:t>
      </w:r>
      <w:r w:rsidR="00757BA0" w:rsidRPr="00E61B21">
        <w:rPr>
          <w:rFonts w:cstheme="minorHAnsi"/>
        </w:rPr>
        <w:t>collecting</w:t>
      </w:r>
      <w:r w:rsidRPr="00E61B21">
        <w:rPr>
          <w:rFonts w:cstheme="minorHAnsi"/>
        </w:rPr>
        <w:t xml:space="preserve"> specimens in an outside location to reduce exposure risk.</w:t>
      </w:r>
    </w:p>
    <w:p w14:paraId="1FDEE68D" w14:textId="4EB82263" w:rsidR="00A41D25" w:rsidRPr="00E61B21" w:rsidRDefault="0487668E" w:rsidP="5994562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E61B21">
        <w:rPr>
          <w:rFonts w:cstheme="minorHAnsi"/>
        </w:rPr>
        <w:t>Specimens should be sent directly to PHL</w:t>
      </w:r>
    </w:p>
    <w:p w14:paraId="76A1CEAD" w14:textId="1962D93A" w:rsidR="00A41D25" w:rsidRPr="00E61B21" w:rsidRDefault="0037523E" w:rsidP="5994562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E61B21">
        <w:rPr>
          <w:rFonts w:cstheme="minorHAnsi"/>
        </w:rPr>
        <w:t>A</w:t>
      </w:r>
      <w:r w:rsidR="00A41D25" w:rsidRPr="00E61B21">
        <w:rPr>
          <w:rFonts w:cstheme="minorHAnsi"/>
        </w:rPr>
        <w:t xml:space="preserve"> nasopharyngeal or </w:t>
      </w:r>
      <w:r w:rsidR="006324F4" w:rsidRPr="00E61B21">
        <w:rPr>
          <w:rFonts w:cstheme="minorHAnsi"/>
        </w:rPr>
        <w:t>combined nasal/</w:t>
      </w:r>
      <w:r w:rsidR="00A41D25" w:rsidRPr="00E61B21">
        <w:rPr>
          <w:rFonts w:cstheme="minorHAnsi"/>
        </w:rPr>
        <w:t>oropharyngeal swab preferred</w:t>
      </w:r>
      <w:r w:rsidR="21297EC2" w:rsidRPr="00E61B21">
        <w:rPr>
          <w:rFonts w:cstheme="minorHAnsi"/>
        </w:rPr>
        <w:t xml:space="preserve">; if a BAL </w:t>
      </w:r>
      <w:r w:rsidR="00FA5286">
        <w:rPr>
          <w:rFonts w:cstheme="minorHAnsi"/>
        </w:rPr>
        <w:t>or sputum</w:t>
      </w:r>
      <w:r w:rsidR="21297EC2" w:rsidRPr="00E61B21">
        <w:rPr>
          <w:rFonts w:cstheme="minorHAnsi"/>
        </w:rPr>
        <w:t xml:space="preserve"> is available, please submit</w:t>
      </w:r>
      <w:r w:rsidR="00A41D25" w:rsidRPr="00E61B21">
        <w:rPr>
          <w:rFonts w:cstheme="minorHAnsi"/>
        </w:rPr>
        <w:t xml:space="preserve">. </w:t>
      </w:r>
      <w:r w:rsidR="00E90A55" w:rsidRPr="00E61B21">
        <w:rPr>
          <w:rFonts w:cstheme="minorHAnsi"/>
        </w:rPr>
        <w:t xml:space="preserve">If an individual has conjunctivitis (with or without respiratory symptoms), both a conjunctival swab and nasopharyngeal </w:t>
      </w:r>
      <w:r w:rsidR="006324F4" w:rsidRPr="00E61B21">
        <w:rPr>
          <w:rFonts w:cstheme="minorHAnsi"/>
        </w:rPr>
        <w:t xml:space="preserve">or nasal/oropharyngeal combined </w:t>
      </w:r>
      <w:r w:rsidR="00E90A55" w:rsidRPr="00E61B21">
        <w:rPr>
          <w:rFonts w:cstheme="minorHAnsi"/>
        </w:rPr>
        <w:t>swab should be collected.</w:t>
      </w:r>
    </w:p>
    <w:p w14:paraId="55E63BB4" w14:textId="256E797E" w:rsidR="00A41D25" w:rsidRPr="00E61B21" w:rsidRDefault="000E6594" w:rsidP="59945628">
      <w:pPr>
        <w:pStyle w:val="ListParagraph"/>
        <w:numPr>
          <w:ilvl w:val="1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 xml:space="preserve">See </w:t>
      </w:r>
      <w:hyperlink r:id="rId12" w:history="1">
        <w:r w:rsidRPr="00310F34">
          <w:rPr>
            <w:rStyle w:val="Hyperlink"/>
            <w:rFonts w:asciiTheme="minorHAnsi" w:hAnsiTheme="minorHAnsi" w:cstheme="minorHAnsi"/>
            <w:color w:val="0070C0"/>
          </w:rPr>
          <w:t>i</w:t>
        </w:r>
        <w:r w:rsidR="00E944C2" w:rsidRPr="00310F34">
          <w:rPr>
            <w:rStyle w:val="Hyperlink"/>
            <w:rFonts w:asciiTheme="minorHAnsi" w:hAnsiTheme="minorHAnsi" w:cstheme="minorHAnsi"/>
            <w:color w:val="0070C0"/>
          </w:rPr>
          <w:t>nstructions on collection of conjunctival swabs</w:t>
        </w:r>
      </w:hyperlink>
      <w:r w:rsidR="00E944C2" w:rsidRPr="00310F34">
        <w:rPr>
          <w:rFonts w:cstheme="minorHAnsi"/>
          <w:color w:val="0070C0"/>
        </w:rPr>
        <w:t xml:space="preserve"> </w:t>
      </w:r>
    </w:p>
    <w:p w14:paraId="280CA69A" w14:textId="031DF1E0" w:rsidR="00334C58" w:rsidRPr="00010FF4" w:rsidRDefault="00A41D25" w:rsidP="00334C58">
      <w:pPr>
        <w:pStyle w:val="ListParagraph"/>
        <w:numPr>
          <w:ilvl w:val="1"/>
          <w:numId w:val="2"/>
        </w:numPr>
        <w:rPr>
          <w:rFonts w:cstheme="minorHAnsi"/>
        </w:rPr>
      </w:pPr>
      <w:r w:rsidRPr="00E61B21">
        <w:rPr>
          <w:rFonts w:cstheme="minorHAnsi"/>
        </w:rPr>
        <w:t xml:space="preserve">See </w:t>
      </w:r>
      <w:hyperlink r:id="rId13" w:history="1">
        <w:r w:rsidR="000E6594" w:rsidRPr="000E6594">
          <w:rPr>
            <w:rStyle w:val="Hyperlink"/>
            <w:rFonts w:asciiTheme="minorHAnsi" w:hAnsiTheme="minorHAnsi" w:cstheme="minorHAnsi"/>
            <w:color w:val="0070C0"/>
          </w:rPr>
          <w:t xml:space="preserve">DOH </w:t>
        </w:r>
        <w:r w:rsidRPr="000E6594">
          <w:rPr>
            <w:rStyle w:val="Hyperlink"/>
            <w:rFonts w:asciiTheme="minorHAnsi" w:hAnsiTheme="minorHAnsi" w:cstheme="minorHAnsi"/>
            <w:color w:val="0070C0"/>
          </w:rPr>
          <w:t>influenza testing guidelines</w:t>
        </w:r>
      </w:hyperlink>
      <w:r w:rsidRPr="000E6594">
        <w:rPr>
          <w:rFonts w:cstheme="minorHAnsi"/>
          <w:color w:val="0070C0"/>
        </w:rPr>
        <w:t xml:space="preserve">  </w:t>
      </w:r>
    </w:p>
    <w:p w14:paraId="10AF372B" w14:textId="6660E8F8" w:rsidR="00334C58" w:rsidRPr="00334C58" w:rsidRDefault="00334C58" w:rsidP="00010FF4">
      <w:pPr>
        <w:rPr>
          <w:rFonts w:cstheme="minorHAnsi"/>
        </w:rPr>
      </w:pPr>
      <w:r>
        <w:rPr>
          <w:rFonts w:cstheme="minorHAnsi"/>
        </w:rPr>
        <w:t>HCP can end isolation according to recommendations from occupational health and the LHJ. At a minimum, the person should receive a negative PCR result for influenza A and meet standard return to work guidance for respiratory illnesses.</w:t>
      </w:r>
    </w:p>
    <w:p w14:paraId="06097C60" w14:textId="12E3C3BD" w:rsidR="00F05ADE" w:rsidRPr="00E61B21" w:rsidRDefault="00737546" w:rsidP="00F05ADE">
      <w:pPr>
        <w:spacing w:after="0" w:line="240" w:lineRule="auto"/>
        <w:rPr>
          <w:rFonts w:cstheme="minorHAnsi"/>
          <w:b/>
          <w:bCs/>
          <w:u w:val="single"/>
        </w:rPr>
      </w:pPr>
      <w:r w:rsidRPr="00E61B21">
        <w:rPr>
          <w:rFonts w:cstheme="minorHAnsi"/>
          <w:b/>
          <w:bCs/>
          <w:u w:val="single"/>
        </w:rPr>
        <w:t>Post-exposure c</w:t>
      </w:r>
      <w:r w:rsidR="00246A8E" w:rsidRPr="00E61B21">
        <w:rPr>
          <w:rFonts w:cstheme="minorHAnsi"/>
          <w:b/>
          <w:bCs/>
          <w:u w:val="single"/>
        </w:rPr>
        <w:t>hemo</w:t>
      </w:r>
      <w:r w:rsidR="00F05ADE" w:rsidRPr="00E61B21">
        <w:rPr>
          <w:rFonts w:cstheme="minorHAnsi"/>
          <w:b/>
          <w:bCs/>
          <w:u w:val="single"/>
        </w:rPr>
        <w:t>prophylaxis</w:t>
      </w:r>
    </w:p>
    <w:p w14:paraId="4AFBB225" w14:textId="7C27EEDF" w:rsidR="00E90A55" w:rsidRPr="00E61B21" w:rsidRDefault="00737546" w:rsidP="59945628">
      <w:pPr>
        <w:spacing w:after="0" w:line="240" w:lineRule="auto"/>
        <w:rPr>
          <w:rFonts w:eastAsiaTheme="majorEastAsia" w:cstheme="minorHAnsi"/>
        </w:rPr>
      </w:pPr>
      <w:r w:rsidRPr="00E61B21">
        <w:rPr>
          <w:rFonts w:eastAsiaTheme="majorEastAsia" w:cstheme="minorHAnsi"/>
        </w:rPr>
        <w:t>Post-exposure c</w:t>
      </w:r>
      <w:r w:rsidR="00E90A55" w:rsidRPr="00E61B21">
        <w:rPr>
          <w:rFonts w:eastAsiaTheme="majorEastAsia" w:cstheme="minorHAnsi"/>
        </w:rPr>
        <w:t xml:space="preserve">hemoprophylaxis </w:t>
      </w:r>
      <w:r w:rsidR="00845036" w:rsidRPr="00E61B21">
        <w:rPr>
          <w:rFonts w:eastAsiaTheme="majorEastAsia" w:cstheme="minorHAnsi"/>
        </w:rPr>
        <w:t xml:space="preserve">(PEP) </w:t>
      </w:r>
      <w:r w:rsidR="00E90A55" w:rsidRPr="00E61B21">
        <w:rPr>
          <w:rFonts w:eastAsiaTheme="majorEastAsia" w:cstheme="minorHAnsi"/>
        </w:rPr>
        <w:t xml:space="preserve">with influenza antiviral medications can be considered for any person meeting epidemiologic exposure criteria. </w:t>
      </w:r>
      <w:r w:rsidR="00376B5E" w:rsidRPr="00E61B21">
        <w:rPr>
          <w:rFonts w:eastAsiaTheme="majorEastAsia" w:cstheme="minorHAnsi"/>
        </w:rPr>
        <w:t xml:space="preserve">Decisions to initiate </w:t>
      </w:r>
      <w:r w:rsidR="00845036" w:rsidRPr="00E61B21">
        <w:rPr>
          <w:rFonts w:eastAsiaTheme="majorEastAsia" w:cstheme="minorHAnsi"/>
        </w:rPr>
        <w:t>PEP</w:t>
      </w:r>
      <w:r w:rsidR="00376B5E" w:rsidRPr="00E61B21">
        <w:rPr>
          <w:rFonts w:eastAsiaTheme="majorEastAsia" w:cstheme="minorHAnsi"/>
        </w:rPr>
        <w:t xml:space="preserve"> should be based on clinical judgment, with consideration given to the type of exposure, duration of exposure, time </w:t>
      </w:r>
      <w:proofErr w:type="gramStart"/>
      <w:r w:rsidR="00376B5E" w:rsidRPr="00E61B21">
        <w:rPr>
          <w:rFonts w:eastAsiaTheme="majorEastAsia" w:cstheme="minorHAnsi"/>
        </w:rPr>
        <w:t>since</w:t>
      </w:r>
      <w:proofErr w:type="gramEnd"/>
      <w:r w:rsidR="00376B5E" w:rsidRPr="00E61B21">
        <w:rPr>
          <w:rFonts w:eastAsiaTheme="majorEastAsia" w:cstheme="minorHAnsi"/>
        </w:rPr>
        <w:t xml:space="preserve"> exposure, and known infection status of the </w:t>
      </w:r>
      <w:r w:rsidR="0076610C" w:rsidRPr="00E61B21">
        <w:rPr>
          <w:rFonts w:eastAsiaTheme="majorEastAsia" w:cstheme="minorHAnsi"/>
        </w:rPr>
        <w:t>case</w:t>
      </w:r>
      <w:r w:rsidR="00376B5E" w:rsidRPr="00E61B21">
        <w:rPr>
          <w:rFonts w:eastAsiaTheme="majorEastAsia" w:cstheme="minorHAnsi"/>
        </w:rPr>
        <w:t>. </w:t>
      </w:r>
    </w:p>
    <w:p w14:paraId="0F48560B" w14:textId="4F446F8B" w:rsidR="00633539" w:rsidRPr="00E61B21" w:rsidRDefault="00F05ADE" w:rsidP="59945628">
      <w:pPr>
        <w:pStyle w:val="ListParagraph"/>
        <w:numPr>
          <w:ilvl w:val="0"/>
          <w:numId w:val="4"/>
        </w:numPr>
        <w:spacing w:after="0" w:line="240" w:lineRule="auto"/>
        <w:rPr>
          <w:rFonts w:eastAsiaTheme="majorEastAsia" w:cstheme="minorHAnsi"/>
        </w:rPr>
      </w:pPr>
      <w:r w:rsidRPr="00E61B21">
        <w:rPr>
          <w:rFonts w:cstheme="minorHAnsi"/>
        </w:rPr>
        <w:t xml:space="preserve">Oseltamivir </w:t>
      </w:r>
      <w:r w:rsidR="008A09D1" w:rsidRPr="00E61B21">
        <w:rPr>
          <w:rFonts w:cstheme="minorHAnsi"/>
        </w:rPr>
        <w:t>PEP should begin as soon as possible (ideally within 48 hours) after first exposure but</w:t>
      </w:r>
      <w:r w:rsidR="005A3F39" w:rsidRPr="00E61B21">
        <w:rPr>
          <w:rFonts w:cstheme="minorHAnsi"/>
        </w:rPr>
        <w:t xml:space="preserve"> can be </w:t>
      </w:r>
      <w:r w:rsidRPr="00E61B21">
        <w:rPr>
          <w:rFonts w:cstheme="minorHAnsi"/>
        </w:rPr>
        <w:t>considered</w:t>
      </w:r>
      <w:r w:rsidR="000906DE" w:rsidRPr="00E61B21">
        <w:rPr>
          <w:rFonts w:cstheme="minorHAnsi"/>
        </w:rPr>
        <w:t xml:space="preserve"> for </w:t>
      </w:r>
      <w:r w:rsidR="00633539" w:rsidRPr="00E61B21">
        <w:rPr>
          <w:rFonts w:cstheme="minorHAnsi"/>
        </w:rPr>
        <w:t>asymptomatic</w:t>
      </w:r>
      <w:r w:rsidR="0076610C" w:rsidRPr="00E61B21">
        <w:rPr>
          <w:rFonts w:cstheme="minorHAnsi"/>
        </w:rPr>
        <w:t xml:space="preserve"> exposed persons</w:t>
      </w:r>
      <w:r w:rsidR="000906DE" w:rsidRPr="00E61B21">
        <w:rPr>
          <w:rFonts w:cstheme="minorHAnsi"/>
        </w:rPr>
        <w:t xml:space="preserve"> </w:t>
      </w:r>
      <w:r w:rsidRPr="00E61B21">
        <w:rPr>
          <w:rFonts w:cstheme="minorHAnsi"/>
        </w:rPr>
        <w:t xml:space="preserve">who are </w:t>
      </w:r>
      <w:r w:rsidR="007113CD" w:rsidRPr="00E61B21">
        <w:rPr>
          <w:rFonts w:cstheme="minorHAnsi"/>
        </w:rPr>
        <w:t xml:space="preserve">still </w:t>
      </w:r>
      <w:r w:rsidRPr="00E61B21">
        <w:rPr>
          <w:rFonts w:cstheme="minorHAnsi"/>
        </w:rPr>
        <w:t>within 10 days of last exposure.</w:t>
      </w:r>
      <w:r w:rsidR="000906DE" w:rsidRPr="00E61B21">
        <w:rPr>
          <w:rFonts w:cstheme="minorHAnsi"/>
        </w:rPr>
        <w:t xml:space="preserve">  </w:t>
      </w:r>
    </w:p>
    <w:p w14:paraId="056F981B" w14:textId="621FDD36" w:rsidR="00366130" w:rsidRPr="00E61B21" w:rsidRDefault="00366130" w:rsidP="59945628">
      <w:pPr>
        <w:pStyle w:val="ListParagraph"/>
        <w:numPr>
          <w:ilvl w:val="0"/>
          <w:numId w:val="4"/>
        </w:numPr>
        <w:spacing w:after="0" w:line="240" w:lineRule="auto"/>
        <w:rPr>
          <w:rFonts w:eastAsiaTheme="majorEastAsia" w:cstheme="minorHAnsi"/>
        </w:rPr>
      </w:pPr>
      <w:bookmarkStart w:id="0" w:name="_Hlk164336422"/>
      <w:r w:rsidRPr="00E61B21">
        <w:rPr>
          <w:rFonts w:eastAsiaTheme="majorEastAsia" w:cstheme="minorHAnsi"/>
        </w:rPr>
        <w:t xml:space="preserve">If </w:t>
      </w:r>
      <w:r w:rsidR="00D87A27" w:rsidRPr="00E61B21">
        <w:rPr>
          <w:rFonts w:eastAsiaTheme="majorEastAsia" w:cstheme="minorHAnsi"/>
        </w:rPr>
        <w:t>oseltamivir PEP</w:t>
      </w:r>
      <w:r w:rsidRPr="00E61B21">
        <w:rPr>
          <w:rFonts w:eastAsiaTheme="majorEastAsia" w:cstheme="minorHAnsi"/>
        </w:rPr>
        <w:t xml:space="preserve"> is initiated, </w:t>
      </w:r>
      <w:r w:rsidRPr="00E61B21">
        <w:rPr>
          <w:rFonts w:cstheme="minorHAnsi"/>
        </w:rPr>
        <w:t xml:space="preserve">oseltamivir treatment </w:t>
      </w:r>
      <w:r w:rsidR="006547E0" w:rsidRPr="00E61B21">
        <w:rPr>
          <w:rFonts w:cstheme="minorHAnsi"/>
        </w:rPr>
        <w:t xml:space="preserve">dosing (BID) </w:t>
      </w:r>
      <w:r w:rsidRPr="00E61B21">
        <w:rPr>
          <w:rFonts w:eastAsiaTheme="majorEastAsia" w:cstheme="minorHAnsi"/>
        </w:rPr>
        <w:t xml:space="preserve">is recommended instead of the </w:t>
      </w:r>
      <w:r w:rsidR="007E126A" w:rsidRPr="00E61B21">
        <w:rPr>
          <w:rFonts w:eastAsiaTheme="majorEastAsia" w:cstheme="minorHAnsi"/>
        </w:rPr>
        <w:t xml:space="preserve">once daily PEP </w:t>
      </w:r>
      <w:r w:rsidR="00956579" w:rsidRPr="00E61B21">
        <w:rPr>
          <w:rFonts w:eastAsiaTheme="majorEastAsia" w:cstheme="minorHAnsi"/>
        </w:rPr>
        <w:t xml:space="preserve">recommended </w:t>
      </w:r>
      <w:r w:rsidRPr="00E61B21">
        <w:rPr>
          <w:rFonts w:eastAsiaTheme="majorEastAsia" w:cstheme="minorHAnsi"/>
        </w:rPr>
        <w:t xml:space="preserve">for seasonal influenza. </w:t>
      </w:r>
    </w:p>
    <w:p w14:paraId="252AF7E3" w14:textId="77777777" w:rsidR="00366130" w:rsidRPr="00E61B21" w:rsidRDefault="00366130" w:rsidP="59945628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lang w:val="en"/>
        </w:rPr>
      </w:pPr>
      <w:r w:rsidRPr="00E61B21">
        <w:rPr>
          <w:rFonts w:eastAsia="Times New Roman" w:cstheme="minorHAnsi"/>
          <w:lang w:val="en"/>
        </w:rPr>
        <w:t>Adults: Oseltamivir 75mg twice daily for 5 or 10 days</w:t>
      </w:r>
    </w:p>
    <w:p w14:paraId="2D56B890" w14:textId="5D349C14" w:rsidR="0055289E" w:rsidRPr="00E61B21" w:rsidRDefault="00366130" w:rsidP="59945628">
      <w:pPr>
        <w:pStyle w:val="ListParagraph"/>
        <w:numPr>
          <w:ilvl w:val="1"/>
          <w:numId w:val="4"/>
        </w:numPr>
        <w:rPr>
          <w:rFonts w:eastAsia="Calibri" w:cstheme="minorHAnsi"/>
        </w:rPr>
      </w:pPr>
      <w:r w:rsidRPr="00E61B21">
        <w:rPr>
          <w:rFonts w:eastAsia="Calibri" w:cstheme="minorHAnsi"/>
        </w:rPr>
        <w:t xml:space="preserve">Antiviral </w:t>
      </w:r>
      <w:r w:rsidR="00DC22E7" w:rsidRPr="00E61B21">
        <w:rPr>
          <w:rFonts w:eastAsia="Calibri" w:cstheme="minorHAnsi"/>
        </w:rPr>
        <w:t xml:space="preserve">PEP </w:t>
      </w:r>
      <w:r w:rsidRPr="00E61B21">
        <w:rPr>
          <w:rFonts w:eastAsia="Calibri" w:cstheme="minorHAnsi"/>
        </w:rPr>
        <w:t xml:space="preserve">with oseltamivir (twice daily) should be continued for 5 or 10 days. </w:t>
      </w:r>
    </w:p>
    <w:p w14:paraId="77DD2E99" w14:textId="77777777" w:rsidR="0055289E" w:rsidRPr="00E61B21" w:rsidRDefault="00366130" w:rsidP="59945628">
      <w:pPr>
        <w:pStyle w:val="ListParagraph"/>
        <w:numPr>
          <w:ilvl w:val="1"/>
          <w:numId w:val="4"/>
        </w:numPr>
        <w:rPr>
          <w:rFonts w:eastAsia="Calibri" w:cstheme="minorHAnsi"/>
        </w:rPr>
      </w:pPr>
      <w:r w:rsidRPr="00E61B21">
        <w:rPr>
          <w:rFonts w:eastAsia="Calibri" w:cstheme="minorHAnsi"/>
        </w:rPr>
        <w:t xml:space="preserve">If the exposure was time-limited and not ongoing, the recommended duration is 5 days from the last known exposure. </w:t>
      </w:r>
    </w:p>
    <w:p w14:paraId="030B31A7" w14:textId="068A269F" w:rsidR="00246A8E" w:rsidRPr="00E61B21" w:rsidRDefault="6BAED216" w:rsidP="59945628">
      <w:pPr>
        <w:pStyle w:val="ListParagraph"/>
        <w:numPr>
          <w:ilvl w:val="1"/>
          <w:numId w:val="4"/>
        </w:numPr>
        <w:rPr>
          <w:rFonts w:eastAsia="Calibri" w:cstheme="minorHAnsi"/>
        </w:rPr>
      </w:pPr>
      <w:r w:rsidRPr="00E61B21">
        <w:rPr>
          <w:rFonts w:eastAsia="Calibri" w:cstheme="minorHAnsi"/>
        </w:rPr>
        <w:t xml:space="preserve">In ongoing </w:t>
      </w:r>
      <w:r w:rsidR="00366130" w:rsidRPr="00E61B21">
        <w:rPr>
          <w:rFonts w:eastAsia="Calibri" w:cstheme="minorHAnsi"/>
        </w:rPr>
        <w:t>exposure</w:t>
      </w:r>
      <w:r w:rsidR="007B0FC5">
        <w:rPr>
          <w:rFonts w:eastAsia="Calibri" w:cstheme="minorHAnsi"/>
        </w:rPr>
        <w:t xml:space="preserve">, </w:t>
      </w:r>
      <w:r w:rsidR="00366130" w:rsidRPr="00E61B21">
        <w:rPr>
          <w:rFonts w:eastAsia="Calibri" w:cstheme="minorHAnsi"/>
        </w:rPr>
        <w:t xml:space="preserve">10 days is recommended </w:t>
      </w:r>
      <w:r w:rsidR="007B0FC5">
        <w:rPr>
          <w:rFonts w:eastAsia="Calibri" w:cstheme="minorHAnsi"/>
        </w:rPr>
        <w:t xml:space="preserve">due to </w:t>
      </w:r>
      <w:r w:rsidR="00366130" w:rsidRPr="00E61B21">
        <w:rPr>
          <w:rFonts w:eastAsia="Calibri" w:cstheme="minorHAnsi"/>
        </w:rPr>
        <w:t>potential for prolonged infectiousness.</w:t>
      </w:r>
      <w:bookmarkEnd w:id="0"/>
    </w:p>
    <w:p w14:paraId="017F217A" w14:textId="1BEB8BA1" w:rsidR="006A2633" w:rsidRPr="001C5A49" w:rsidRDefault="00971334" w:rsidP="001C5A49">
      <w:pPr>
        <w:pStyle w:val="ListParagraph"/>
        <w:numPr>
          <w:ilvl w:val="0"/>
          <w:numId w:val="4"/>
        </w:numPr>
        <w:spacing w:after="0"/>
        <w:rPr>
          <w:rFonts w:eastAsia="Calibri" w:cstheme="minorHAnsi"/>
          <w:color w:val="0070C0"/>
        </w:rPr>
      </w:pPr>
      <w:r w:rsidRPr="00E61B21">
        <w:rPr>
          <w:rFonts w:eastAsia="Calibri" w:cstheme="minorHAnsi"/>
        </w:rPr>
        <w:t xml:space="preserve">See risk stratification table: </w:t>
      </w:r>
      <w:hyperlink r:id="rId14" w:history="1">
        <w:r w:rsidR="002E0C6B">
          <w:rPr>
            <w:rStyle w:val="Hyperlink"/>
            <w:rFonts w:asciiTheme="minorHAnsi" w:eastAsia="Calibri" w:hAnsiTheme="minorHAnsi" w:cstheme="minorHAnsi"/>
            <w:color w:val="0070C0"/>
          </w:rPr>
          <w:t>Interim Guidance for Follow-up of Close Contacts of Persons Infected with Novel Influenza A Viruses Associated with Severe Human Disease or with Potential to Cause Severe Human Disease, and Use of Antiviral Medications for Post-exposure Prophylaxis | CDC</w:t>
        </w:r>
      </w:hyperlink>
      <w:r w:rsidR="006A2633" w:rsidRPr="00E61B21">
        <w:rPr>
          <w:rFonts w:eastAsia="Calibri" w:cstheme="minorHAnsi"/>
          <w:b/>
          <w:bCs/>
          <w:color w:val="0070C0"/>
        </w:rPr>
        <w:t xml:space="preserve"> </w:t>
      </w:r>
    </w:p>
    <w:p w14:paraId="39BDF24B" w14:textId="77777777" w:rsidR="001C5A49" w:rsidRPr="001C5A49" w:rsidRDefault="001C5A49" w:rsidP="001C5A49">
      <w:pPr>
        <w:spacing w:after="0"/>
        <w:ind w:left="360"/>
        <w:rPr>
          <w:rFonts w:eastAsia="Calibri" w:cstheme="minorHAnsi"/>
          <w:color w:val="0070C0"/>
          <w:sz w:val="16"/>
          <w:szCs w:val="16"/>
        </w:rPr>
      </w:pPr>
    </w:p>
    <w:p w14:paraId="34DA30B5" w14:textId="7800D734" w:rsidR="00246A8E" w:rsidRPr="00E61B21" w:rsidRDefault="00246A8E" w:rsidP="00246A8E">
      <w:pPr>
        <w:spacing w:after="0" w:line="240" w:lineRule="auto"/>
        <w:rPr>
          <w:rFonts w:eastAsiaTheme="majorEastAsia" w:cstheme="minorHAnsi"/>
          <w:b/>
          <w:bCs/>
          <w:u w:val="single"/>
        </w:rPr>
      </w:pPr>
      <w:r w:rsidRPr="00E61B21">
        <w:rPr>
          <w:rFonts w:eastAsiaTheme="majorEastAsia" w:cstheme="minorHAnsi"/>
          <w:b/>
          <w:bCs/>
          <w:u w:val="single"/>
        </w:rPr>
        <w:t>Oseltamivir treatment</w:t>
      </w:r>
    </w:p>
    <w:p w14:paraId="584FAC31" w14:textId="2F6CAAD1" w:rsidR="002B2501" w:rsidRPr="00E61B21" w:rsidRDefault="00971334" w:rsidP="59945628">
      <w:pPr>
        <w:spacing w:after="0" w:line="240" w:lineRule="auto"/>
        <w:rPr>
          <w:rFonts w:eastAsiaTheme="majorEastAsia" w:cstheme="minorHAnsi"/>
        </w:rPr>
      </w:pPr>
      <w:r w:rsidRPr="00E61B21">
        <w:rPr>
          <w:rFonts w:eastAsiaTheme="majorEastAsia" w:cstheme="minorHAnsi"/>
        </w:rPr>
        <w:t>HCP</w:t>
      </w:r>
      <w:r w:rsidR="009E4648" w:rsidRPr="00E61B21">
        <w:rPr>
          <w:rFonts w:eastAsiaTheme="majorEastAsia" w:cstheme="minorHAnsi"/>
        </w:rPr>
        <w:t xml:space="preserve"> meeting</w:t>
      </w:r>
      <w:r w:rsidR="00633539" w:rsidRPr="00E61B21">
        <w:rPr>
          <w:rFonts w:eastAsiaTheme="majorEastAsia" w:cstheme="minorHAnsi"/>
        </w:rPr>
        <w:t xml:space="preserve"> epidemiologic exposure criteria who develop signs and symptoms compatible with influenza should be referred for prompt testing and empiric initiation of </w:t>
      </w:r>
      <w:r w:rsidRPr="00E61B21">
        <w:rPr>
          <w:rFonts w:eastAsiaTheme="majorEastAsia" w:cstheme="minorHAnsi"/>
        </w:rPr>
        <w:t>treatment</w:t>
      </w:r>
      <w:r w:rsidR="00633539" w:rsidRPr="00E61B21">
        <w:rPr>
          <w:rFonts w:eastAsiaTheme="majorEastAsia" w:cstheme="minorHAnsi"/>
        </w:rPr>
        <w:t xml:space="preserve">. </w:t>
      </w:r>
    </w:p>
    <w:p w14:paraId="5AB668CB" w14:textId="2B4E3066" w:rsidR="004E09E5" w:rsidRPr="00E61B21" w:rsidRDefault="004E09E5" w:rsidP="59945628">
      <w:pPr>
        <w:pStyle w:val="ListParagraph"/>
        <w:numPr>
          <w:ilvl w:val="0"/>
          <w:numId w:val="9"/>
        </w:numPr>
        <w:spacing w:after="0" w:line="240" w:lineRule="auto"/>
        <w:rPr>
          <w:rFonts w:eastAsiaTheme="majorEastAsia" w:cstheme="minorHAnsi"/>
        </w:rPr>
      </w:pPr>
      <w:r w:rsidRPr="00E61B21">
        <w:rPr>
          <w:rFonts w:cstheme="minorHAnsi"/>
        </w:rPr>
        <w:t>Adult dose is 75 mg twice daily for 5 days</w:t>
      </w:r>
      <w:r w:rsidR="16E745D8" w:rsidRPr="00E61B21">
        <w:rPr>
          <w:rFonts w:cstheme="minorHAnsi"/>
        </w:rPr>
        <w:t>.</w:t>
      </w:r>
    </w:p>
    <w:p w14:paraId="52D6398A" w14:textId="2B21DD94" w:rsidR="009E4648" w:rsidRPr="00E61B21" w:rsidRDefault="009E4648" w:rsidP="59945628">
      <w:pPr>
        <w:pStyle w:val="ListParagraph"/>
        <w:numPr>
          <w:ilvl w:val="0"/>
          <w:numId w:val="9"/>
        </w:numPr>
        <w:spacing w:after="0" w:line="240" w:lineRule="auto"/>
        <w:rPr>
          <w:rFonts w:eastAsiaTheme="majorEastAsia" w:cstheme="minorHAnsi"/>
        </w:rPr>
      </w:pPr>
      <w:r w:rsidRPr="00E61B21">
        <w:rPr>
          <w:rFonts w:cstheme="minorHAnsi"/>
        </w:rPr>
        <w:lastRenderedPageBreak/>
        <w:t>Do not wait for test results to start treating if indicated.</w:t>
      </w:r>
    </w:p>
    <w:p w14:paraId="7184342E" w14:textId="19E927BD" w:rsidR="004E09E5" w:rsidRPr="00E61B21" w:rsidRDefault="00633539">
      <w:pPr>
        <w:pStyle w:val="ListParagraph"/>
        <w:numPr>
          <w:ilvl w:val="0"/>
          <w:numId w:val="9"/>
        </w:numPr>
        <w:spacing w:after="0" w:line="240" w:lineRule="auto"/>
        <w:rPr>
          <w:rStyle w:val="Strong"/>
          <w:rFonts w:asciiTheme="minorHAnsi" w:eastAsiaTheme="majorEastAsia" w:hAnsiTheme="minorHAnsi" w:cstheme="minorHAnsi"/>
          <w:b w:val="0"/>
          <w:bCs w:val="0"/>
        </w:rPr>
      </w:pPr>
      <w:r w:rsidRPr="00E61B21">
        <w:rPr>
          <w:rFonts w:eastAsiaTheme="majorEastAsia" w:cstheme="minorHAnsi"/>
        </w:rPr>
        <w:t>Clinical benefit is greatest when antiviral treatment is administered early, especially within 48 hours of illness onset. See</w:t>
      </w:r>
      <w:r w:rsidR="001E7F98" w:rsidRPr="00E61B21">
        <w:rPr>
          <w:rFonts w:eastAsiaTheme="majorEastAsia" w:cstheme="minorHAnsi"/>
        </w:rPr>
        <w:t>:</w:t>
      </w:r>
      <w:r w:rsidRPr="00E61B21">
        <w:rPr>
          <w:rFonts w:eastAsiaTheme="majorEastAsia" w:cstheme="minorHAnsi"/>
        </w:rPr>
        <w:t xml:space="preserve"> </w:t>
      </w:r>
      <w:hyperlink r:id="rId15" w:history="1">
        <w:r w:rsidR="005833EF" w:rsidRPr="00E61B21">
          <w:rPr>
            <w:rStyle w:val="Hyperlink"/>
            <w:rFonts w:asciiTheme="minorHAnsi" w:eastAsia="Times New Roman" w:hAnsiTheme="minorHAnsi" w:cstheme="minorHAnsi"/>
            <w:color w:val="0070C0"/>
            <w:lang w:val="en"/>
          </w:rPr>
          <w:t>https://www.cdc.gov/bird-flu/hcp/novel-av-treatment-guidance/</w:t>
        </w:r>
      </w:hyperlink>
      <w:r w:rsidR="005833EF" w:rsidRPr="00E61B21">
        <w:rPr>
          <w:rStyle w:val="Strong"/>
          <w:rFonts w:asciiTheme="minorHAnsi" w:eastAsia="Times New Roman" w:hAnsiTheme="minorHAnsi" w:cstheme="minorHAnsi"/>
          <w:b w:val="0"/>
          <w:bCs w:val="0"/>
          <w:color w:val="0070C0"/>
          <w:lang w:val="en"/>
        </w:rPr>
        <w:t xml:space="preserve"> </w:t>
      </w:r>
    </w:p>
    <w:p w14:paraId="272A2A2D" w14:textId="77777777" w:rsidR="00B951E3" w:rsidRPr="00171894" w:rsidRDefault="00B951E3" w:rsidP="59945628">
      <w:pPr>
        <w:spacing w:after="0" w:line="240" w:lineRule="auto"/>
        <w:rPr>
          <w:rFonts w:eastAsiaTheme="majorEastAsia" w:cstheme="minorHAnsi"/>
          <w:sz w:val="16"/>
          <w:szCs w:val="16"/>
        </w:rPr>
      </w:pPr>
    </w:p>
    <w:p w14:paraId="349DC0DD" w14:textId="3A82381D" w:rsidR="11E26ABA" w:rsidRPr="00E61B21" w:rsidRDefault="11E26ABA" w:rsidP="59945628">
      <w:pPr>
        <w:spacing w:after="0" w:line="240" w:lineRule="auto"/>
        <w:rPr>
          <w:rFonts w:cstheme="minorHAnsi"/>
          <w:b/>
          <w:bCs/>
          <w:u w:val="single"/>
        </w:rPr>
      </w:pPr>
      <w:r w:rsidRPr="00E61B21">
        <w:rPr>
          <w:rFonts w:cstheme="minorHAnsi"/>
          <w:b/>
          <w:bCs/>
        </w:rPr>
        <w:t xml:space="preserve">DOH Guidance is adapted from the following: </w:t>
      </w:r>
    </w:p>
    <w:p w14:paraId="528585F3" w14:textId="7A47A7CA" w:rsidR="11E26ABA" w:rsidRPr="001C5A49" w:rsidRDefault="00921B59" w:rsidP="59945628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0070C0"/>
          <w:u w:val="single"/>
        </w:rPr>
      </w:pPr>
      <w:hyperlink r:id="rId16" w:history="1">
        <w:r>
          <w:rPr>
            <w:rStyle w:val="Hyperlink"/>
            <w:rFonts w:asciiTheme="minorHAnsi" w:hAnsiTheme="minorHAnsi" w:cstheme="minorHAnsi"/>
            <w:color w:val="0070C0"/>
          </w:rPr>
          <w:t>Interim Guidance for Infection Control Within Healthcare Settings When Caring for Confirmed Cases, Probable Cases, and Cases Under Investigation for Infection with Novel Influenza A Viruses Associated with Severe Disease | CDC</w:t>
        </w:r>
      </w:hyperlink>
      <w:r w:rsidR="11E26ABA" w:rsidRPr="001C5A49">
        <w:rPr>
          <w:rFonts w:cstheme="minorHAnsi"/>
          <w:color w:val="0070C0"/>
        </w:rPr>
        <w:t xml:space="preserve"> </w:t>
      </w:r>
    </w:p>
    <w:p w14:paraId="1C4F6EC8" w14:textId="6FD1A9A2" w:rsidR="11E26ABA" w:rsidRPr="00E61B21" w:rsidRDefault="11E26ABA" w:rsidP="59945628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u w:val="single"/>
        </w:rPr>
      </w:pPr>
      <w:hyperlink r:id="rId17">
        <w:r w:rsidRPr="00E61B21">
          <w:rPr>
            <w:rStyle w:val="Hyperlink"/>
            <w:rFonts w:asciiTheme="minorHAnsi" w:hAnsiTheme="minorHAnsi" w:cstheme="minorHAnsi"/>
            <w:color w:val="0070C0"/>
          </w:rPr>
          <w:t>Novel Influenza A Virus Infections 2024 Case Definition | CDC</w:t>
        </w:r>
      </w:hyperlink>
    </w:p>
    <w:p w14:paraId="3EFAF5FB" w14:textId="6E2EE6F8" w:rsidR="59945628" w:rsidRPr="00E61B21" w:rsidRDefault="59945628" w:rsidP="59945628">
      <w:pPr>
        <w:spacing w:after="0"/>
        <w:jc w:val="center"/>
        <w:rPr>
          <w:rFonts w:eastAsiaTheme="majorEastAsia" w:cstheme="minorHAnsi"/>
          <w:b/>
          <w:bCs/>
        </w:rPr>
      </w:pPr>
    </w:p>
    <w:p w14:paraId="0B1F66BD" w14:textId="6F9A28D2" w:rsidR="00B06B05" w:rsidRPr="00E61B21" w:rsidRDefault="007B0FC5" w:rsidP="59945628">
      <w:pPr>
        <w:spacing w:after="0"/>
        <w:jc w:val="center"/>
        <w:rPr>
          <w:rFonts w:eastAsiaTheme="majorEastAsia" w:cstheme="minorHAnsi"/>
          <w:b/>
          <w:bCs/>
          <w:color w:val="0070C0"/>
        </w:rPr>
      </w:pPr>
      <w:r>
        <w:rPr>
          <w:rFonts w:eastAsiaTheme="majorEastAsia" w:cstheme="minorHAnsi"/>
          <w:b/>
          <w:bCs/>
        </w:rPr>
        <w:t>Washington Department of He</w:t>
      </w:r>
      <w:r w:rsidR="0018603C" w:rsidRPr="00E61B21">
        <w:rPr>
          <w:rFonts w:eastAsiaTheme="majorEastAsia" w:cstheme="minorHAnsi"/>
          <w:b/>
          <w:bCs/>
        </w:rPr>
        <w:t>alth</w:t>
      </w:r>
      <w:r w:rsidR="00F05ADE" w:rsidRPr="00E61B21">
        <w:rPr>
          <w:rFonts w:eastAsiaTheme="majorEastAsia" w:cstheme="minorHAnsi"/>
          <w:b/>
          <w:bCs/>
        </w:rPr>
        <w:t xml:space="preserve"> </w:t>
      </w:r>
      <w:r w:rsidR="0018603C" w:rsidRPr="00E61B21">
        <w:rPr>
          <w:rFonts w:eastAsiaTheme="majorEastAsia" w:cstheme="minorHAnsi"/>
          <w:b/>
          <w:bCs/>
        </w:rPr>
        <w:t xml:space="preserve">Office of </w:t>
      </w:r>
      <w:r w:rsidR="00F05ADE" w:rsidRPr="00E61B21">
        <w:rPr>
          <w:rFonts w:eastAsiaTheme="majorEastAsia" w:cstheme="minorHAnsi"/>
          <w:b/>
          <w:bCs/>
        </w:rPr>
        <w:t>C</w:t>
      </w:r>
      <w:r w:rsidR="0018603C" w:rsidRPr="00E61B21">
        <w:rPr>
          <w:rFonts w:eastAsiaTheme="majorEastAsia" w:cstheme="minorHAnsi"/>
          <w:b/>
          <w:bCs/>
        </w:rPr>
        <w:t xml:space="preserve">ommunicable </w:t>
      </w:r>
      <w:r w:rsidR="00F05ADE" w:rsidRPr="00E61B21">
        <w:rPr>
          <w:rFonts w:eastAsiaTheme="majorEastAsia" w:cstheme="minorHAnsi"/>
          <w:b/>
          <w:bCs/>
        </w:rPr>
        <w:t>D</w:t>
      </w:r>
      <w:r w:rsidR="0018603C" w:rsidRPr="00E61B21">
        <w:rPr>
          <w:rFonts w:eastAsiaTheme="majorEastAsia" w:cstheme="minorHAnsi"/>
          <w:b/>
          <w:bCs/>
        </w:rPr>
        <w:t>isease</w:t>
      </w:r>
      <w:r w:rsidR="00F05ADE" w:rsidRPr="00E61B21">
        <w:rPr>
          <w:rFonts w:eastAsiaTheme="majorEastAsia" w:cstheme="minorHAnsi"/>
          <w:b/>
          <w:bCs/>
        </w:rPr>
        <w:t xml:space="preserve"> Epi</w:t>
      </w:r>
      <w:r w:rsidR="0018603C" w:rsidRPr="00E61B21">
        <w:rPr>
          <w:rFonts w:eastAsiaTheme="majorEastAsia" w:cstheme="minorHAnsi"/>
          <w:b/>
          <w:bCs/>
        </w:rPr>
        <w:t>demiology</w:t>
      </w:r>
      <w:r>
        <w:rPr>
          <w:rFonts w:eastAsiaTheme="majorEastAsia" w:cstheme="minorHAnsi"/>
          <w:b/>
          <w:bCs/>
        </w:rPr>
        <w:t>:</w:t>
      </w:r>
      <w:r w:rsidR="00F05ADE" w:rsidRPr="00E61B21">
        <w:rPr>
          <w:rFonts w:eastAsiaTheme="majorEastAsia" w:cstheme="minorHAnsi"/>
          <w:b/>
          <w:bCs/>
        </w:rPr>
        <w:t xml:space="preserve"> 206-418-5500</w:t>
      </w:r>
      <w:r w:rsidR="00AA3E08" w:rsidRPr="00E61B21">
        <w:rPr>
          <w:rFonts w:eastAsiaTheme="majorEastAsia" w:cstheme="minorHAnsi"/>
          <w:b/>
          <w:bCs/>
        </w:rPr>
        <w:t xml:space="preserve"> or 877-539-4344</w:t>
      </w:r>
    </w:p>
    <w:sectPr w:rsidR="00B06B05" w:rsidRPr="00E61B21" w:rsidSect="007B2568">
      <w:footerReference w:type="default" r:id="rId18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F5131" w14:textId="77777777" w:rsidR="008B7790" w:rsidRDefault="008B7790" w:rsidP="00EE3206">
      <w:pPr>
        <w:spacing w:after="0" w:line="240" w:lineRule="auto"/>
      </w:pPr>
      <w:r>
        <w:separator/>
      </w:r>
    </w:p>
  </w:endnote>
  <w:endnote w:type="continuationSeparator" w:id="0">
    <w:p w14:paraId="07007018" w14:textId="77777777" w:rsidR="008B7790" w:rsidRDefault="008B7790" w:rsidP="00EE3206">
      <w:pPr>
        <w:spacing w:after="0" w:line="240" w:lineRule="auto"/>
      </w:pPr>
      <w:r>
        <w:continuationSeparator/>
      </w:r>
    </w:p>
  </w:endnote>
  <w:endnote w:type="continuationNotice" w:id="1">
    <w:p w14:paraId="3FC83F62" w14:textId="77777777" w:rsidR="008B7790" w:rsidRDefault="008B77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16EDC" w14:textId="2C5E0BE4" w:rsidR="007705A7" w:rsidRDefault="005B56A6">
    <w:pPr>
      <w:pStyle w:val="Footer"/>
      <w:jc w:val="right"/>
    </w:pPr>
    <w:r>
      <w:t>January 2026</w:t>
    </w:r>
    <w:r w:rsidR="007705A7">
      <w:tab/>
    </w:r>
    <w:r w:rsidR="007705A7">
      <w:tab/>
    </w:r>
    <w:r w:rsidR="007705A7">
      <w:tab/>
    </w:r>
    <w:sdt>
      <w:sdtPr>
        <w:id w:val="42808707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5A7">
          <w:fldChar w:fldCharType="begin"/>
        </w:r>
        <w:r w:rsidR="007705A7">
          <w:instrText xml:space="preserve"> PAGE   \* MERGEFORMAT </w:instrText>
        </w:r>
        <w:r w:rsidR="007705A7">
          <w:fldChar w:fldCharType="separate"/>
        </w:r>
        <w:r w:rsidR="007705A7">
          <w:rPr>
            <w:noProof/>
          </w:rPr>
          <w:t>2</w:t>
        </w:r>
        <w:r w:rsidR="007705A7">
          <w:rPr>
            <w:noProof/>
          </w:rPr>
          <w:fldChar w:fldCharType="end"/>
        </w:r>
      </w:sdtContent>
    </w:sdt>
  </w:p>
  <w:p w14:paraId="707548B9" w14:textId="720F1C38" w:rsidR="00B06B05" w:rsidRDefault="00B06B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EB5AF" w14:textId="77777777" w:rsidR="008B7790" w:rsidRDefault="008B7790" w:rsidP="00EE3206">
      <w:pPr>
        <w:spacing w:after="0" w:line="240" w:lineRule="auto"/>
      </w:pPr>
      <w:r>
        <w:separator/>
      </w:r>
    </w:p>
  </w:footnote>
  <w:footnote w:type="continuationSeparator" w:id="0">
    <w:p w14:paraId="0AE76742" w14:textId="77777777" w:rsidR="008B7790" w:rsidRDefault="008B7790" w:rsidP="00EE3206">
      <w:pPr>
        <w:spacing w:after="0" w:line="240" w:lineRule="auto"/>
      </w:pPr>
      <w:r>
        <w:continuationSeparator/>
      </w:r>
    </w:p>
  </w:footnote>
  <w:footnote w:type="continuationNotice" w:id="1">
    <w:p w14:paraId="0CFC27DE" w14:textId="77777777" w:rsidR="008B7790" w:rsidRDefault="008B779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B60D4"/>
    <w:multiLevelType w:val="hybridMultilevel"/>
    <w:tmpl w:val="C85AA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95923"/>
    <w:multiLevelType w:val="hybridMultilevel"/>
    <w:tmpl w:val="C0287974"/>
    <w:lvl w:ilvl="0" w:tplc="C31E0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0425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5CD6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FE42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B2BF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4F6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AE3B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46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16F9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04F8A"/>
    <w:multiLevelType w:val="hybridMultilevel"/>
    <w:tmpl w:val="A684A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207E9"/>
    <w:multiLevelType w:val="hybridMultilevel"/>
    <w:tmpl w:val="653C2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71CC2"/>
    <w:multiLevelType w:val="hybridMultilevel"/>
    <w:tmpl w:val="E4F2A2C2"/>
    <w:lvl w:ilvl="0" w:tplc="19900C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AA7AF3"/>
    <w:multiLevelType w:val="hybridMultilevel"/>
    <w:tmpl w:val="570A6ED0"/>
    <w:lvl w:ilvl="0" w:tplc="A8E4B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A4780"/>
    <w:multiLevelType w:val="hybridMultilevel"/>
    <w:tmpl w:val="5C2EE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11757"/>
    <w:multiLevelType w:val="hybridMultilevel"/>
    <w:tmpl w:val="378C4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52F5E"/>
    <w:multiLevelType w:val="multilevel"/>
    <w:tmpl w:val="EF2E5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C23411"/>
    <w:multiLevelType w:val="hybridMultilevel"/>
    <w:tmpl w:val="71F2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04558"/>
    <w:multiLevelType w:val="hybridMultilevel"/>
    <w:tmpl w:val="FFFFFFFF"/>
    <w:lvl w:ilvl="0" w:tplc="19A416DC">
      <w:start w:val="1"/>
      <w:numFmt w:val="decimal"/>
      <w:lvlText w:val="%1."/>
      <w:lvlJc w:val="left"/>
      <w:pPr>
        <w:ind w:left="360" w:hanging="360"/>
      </w:pPr>
    </w:lvl>
    <w:lvl w:ilvl="1" w:tplc="7212AB3A">
      <w:start w:val="1"/>
      <w:numFmt w:val="lowerLetter"/>
      <w:lvlText w:val="%2."/>
      <w:lvlJc w:val="left"/>
      <w:pPr>
        <w:ind w:left="1080" w:hanging="360"/>
      </w:pPr>
    </w:lvl>
    <w:lvl w:ilvl="2" w:tplc="3D7C321C">
      <w:start w:val="1"/>
      <w:numFmt w:val="lowerRoman"/>
      <w:lvlText w:val="%3."/>
      <w:lvlJc w:val="right"/>
      <w:pPr>
        <w:ind w:left="1800" w:hanging="180"/>
      </w:pPr>
    </w:lvl>
    <w:lvl w:ilvl="3" w:tplc="A910728C">
      <w:start w:val="1"/>
      <w:numFmt w:val="decimal"/>
      <w:lvlText w:val="%4."/>
      <w:lvlJc w:val="left"/>
      <w:pPr>
        <w:ind w:left="2520" w:hanging="360"/>
      </w:pPr>
    </w:lvl>
    <w:lvl w:ilvl="4" w:tplc="F742697E">
      <w:start w:val="1"/>
      <w:numFmt w:val="lowerLetter"/>
      <w:lvlText w:val="%5."/>
      <w:lvlJc w:val="left"/>
      <w:pPr>
        <w:ind w:left="3240" w:hanging="360"/>
      </w:pPr>
    </w:lvl>
    <w:lvl w:ilvl="5" w:tplc="88DCDCA8">
      <w:start w:val="1"/>
      <w:numFmt w:val="lowerRoman"/>
      <w:lvlText w:val="%6."/>
      <w:lvlJc w:val="right"/>
      <w:pPr>
        <w:ind w:left="3960" w:hanging="180"/>
      </w:pPr>
    </w:lvl>
    <w:lvl w:ilvl="6" w:tplc="AE84B036">
      <w:start w:val="1"/>
      <w:numFmt w:val="decimal"/>
      <w:lvlText w:val="%7."/>
      <w:lvlJc w:val="left"/>
      <w:pPr>
        <w:ind w:left="4680" w:hanging="360"/>
      </w:pPr>
    </w:lvl>
    <w:lvl w:ilvl="7" w:tplc="956E02CA">
      <w:start w:val="1"/>
      <w:numFmt w:val="lowerLetter"/>
      <w:lvlText w:val="%8."/>
      <w:lvlJc w:val="left"/>
      <w:pPr>
        <w:ind w:left="5400" w:hanging="360"/>
      </w:pPr>
    </w:lvl>
    <w:lvl w:ilvl="8" w:tplc="7BA86C92">
      <w:start w:val="1"/>
      <w:numFmt w:val="lowerRoman"/>
      <w:lvlText w:val="%9."/>
      <w:lvlJc w:val="right"/>
      <w:pPr>
        <w:ind w:left="6120" w:hanging="180"/>
      </w:pPr>
    </w:lvl>
  </w:abstractNum>
  <w:num w:numId="1" w16cid:durableId="1248421963">
    <w:abstractNumId w:val="10"/>
  </w:num>
  <w:num w:numId="2" w16cid:durableId="1344013922">
    <w:abstractNumId w:val="2"/>
  </w:num>
  <w:num w:numId="3" w16cid:durableId="976226500">
    <w:abstractNumId w:val="9"/>
  </w:num>
  <w:num w:numId="4" w16cid:durableId="1697923596">
    <w:abstractNumId w:val="5"/>
  </w:num>
  <w:num w:numId="5" w16cid:durableId="1809781812">
    <w:abstractNumId w:val="3"/>
  </w:num>
  <w:num w:numId="6" w16cid:durableId="1316059473">
    <w:abstractNumId w:val="4"/>
  </w:num>
  <w:num w:numId="7" w16cid:durableId="1761178929">
    <w:abstractNumId w:val="1"/>
  </w:num>
  <w:num w:numId="8" w16cid:durableId="710155550">
    <w:abstractNumId w:val="6"/>
  </w:num>
  <w:num w:numId="9" w16cid:durableId="1895239744">
    <w:abstractNumId w:val="0"/>
  </w:num>
  <w:num w:numId="10" w16cid:durableId="857936688">
    <w:abstractNumId w:val="7"/>
  </w:num>
  <w:num w:numId="11" w16cid:durableId="14873603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ADE"/>
    <w:rsid w:val="00000182"/>
    <w:rsid w:val="00000CDD"/>
    <w:rsid w:val="00010FF4"/>
    <w:rsid w:val="00013308"/>
    <w:rsid w:val="000141C1"/>
    <w:rsid w:val="00030A2A"/>
    <w:rsid w:val="0003230A"/>
    <w:rsid w:val="00034274"/>
    <w:rsid w:val="000404C0"/>
    <w:rsid w:val="00041492"/>
    <w:rsid w:val="00044363"/>
    <w:rsid w:val="00047FE0"/>
    <w:rsid w:val="00053293"/>
    <w:rsid w:val="00054CCC"/>
    <w:rsid w:val="00065DDE"/>
    <w:rsid w:val="0007339E"/>
    <w:rsid w:val="0007342A"/>
    <w:rsid w:val="0007389F"/>
    <w:rsid w:val="00082929"/>
    <w:rsid w:val="000865BE"/>
    <w:rsid w:val="000906DE"/>
    <w:rsid w:val="00096805"/>
    <w:rsid w:val="000B0B91"/>
    <w:rsid w:val="000B4B22"/>
    <w:rsid w:val="000C66FD"/>
    <w:rsid w:val="000C70DD"/>
    <w:rsid w:val="000D3294"/>
    <w:rsid w:val="000D5D9D"/>
    <w:rsid w:val="000E6594"/>
    <w:rsid w:val="000F1CBA"/>
    <w:rsid w:val="000F4502"/>
    <w:rsid w:val="001020ED"/>
    <w:rsid w:val="00104C3A"/>
    <w:rsid w:val="00105C79"/>
    <w:rsid w:val="001060CE"/>
    <w:rsid w:val="00112E08"/>
    <w:rsid w:val="00113B24"/>
    <w:rsid w:val="0012049A"/>
    <w:rsid w:val="00130B04"/>
    <w:rsid w:val="001315AE"/>
    <w:rsid w:val="001336A3"/>
    <w:rsid w:val="001415F0"/>
    <w:rsid w:val="00154899"/>
    <w:rsid w:val="001638E2"/>
    <w:rsid w:val="00171894"/>
    <w:rsid w:val="00172E6F"/>
    <w:rsid w:val="001769D7"/>
    <w:rsid w:val="0018603C"/>
    <w:rsid w:val="00190D5B"/>
    <w:rsid w:val="001A6B8F"/>
    <w:rsid w:val="001C5A49"/>
    <w:rsid w:val="001C5FE7"/>
    <w:rsid w:val="001D6EA0"/>
    <w:rsid w:val="001E39AA"/>
    <w:rsid w:val="001E42BE"/>
    <w:rsid w:val="001E7F98"/>
    <w:rsid w:val="001F082D"/>
    <w:rsid w:val="001F45D8"/>
    <w:rsid w:val="001F49CD"/>
    <w:rsid w:val="001F6F04"/>
    <w:rsid w:val="00201776"/>
    <w:rsid w:val="002038E0"/>
    <w:rsid w:val="00211288"/>
    <w:rsid w:val="0021160C"/>
    <w:rsid w:val="00217596"/>
    <w:rsid w:val="0022117F"/>
    <w:rsid w:val="00222C11"/>
    <w:rsid w:val="00246A8E"/>
    <w:rsid w:val="0026557A"/>
    <w:rsid w:val="00272F2E"/>
    <w:rsid w:val="00273146"/>
    <w:rsid w:val="00277D67"/>
    <w:rsid w:val="002B10DF"/>
    <w:rsid w:val="002B2501"/>
    <w:rsid w:val="002B4996"/>
    <w:rsid w:val="002B6ADB"/>
    <w:rsid w:val="002C1169"/>
    <w:rsid w:val="002C6C36"/>
    <w:rsid w:val="002D16A3"/>
    <w:rsid w:val="002D2697"/>
    <w:rsid w:val="002E0C6B"/>
    <w:rsid w:val="002F13EF"/>
    <w:rsid w:val="00303ED1"/>
    <w:rsid w:val="00307C5F"/>
    <w:rsid w:val="00310F34"/>
    <w:rsid w:val="00314ECA"/>
    <w:rsid w:val="00315CA9"/>
    <w:rsid w:val="00323FE1"/>
    <w:rsid w:val="00330575"/>
    <w:rsid w:val="00331B7B"/>
    <w:rsid w:val="00333F80"/>
    <w:rsid w:val="00334C58"/>
    <w:rsid w:val="00334D3C"/>
    <w:rsid w:val="00335764"/>
    <w:rsid w:val="00345C07"/>
    <w:rsid w:val="00346592"/>
    <w:rsid w:val="003471BB"/>
    <w:rsid w:val="00363063"/>
    <w:rsid w:val="0036345D"/>
    <w:rsid w:val="00364ED8"/>
    <w:rsid w:val="00366130"/>
    <w:rsid w:val="00370DFE"/>
    <w:rsid w:val="0037277F"/>
    <w:rsid w:val="0037523E"/>
    <w:rsid w:val="0037567D"/>
    <w:rsid w:val="00376ABD"/>
    <w:rsid w:val="00376B34"/>
    <w:rsid w:val="00376B5E"/>
    <w:rsid w:val="00384B56"/>
    <w:rsid w:val="003A0680"/>
    <w:rsid w:val="003A0C70"/>
    <w:rsid w:val="003A2072"/>
    <w:rsid w:val="003A4089"/>
    <w:rsid w:val="003A56A9"/>
    <w:rsid w:val="003B2475"/>
    <w:rsid w:val="003B432D"/>
    <w:rsid w:val="003C0994"/>
    <w:rsid w:val="003E012C"/>
    <w:rsid w:val="003E4392"/>
    <w:rsid w:val="003E4EA3"/>
    <w:rsid w:val="003E6D46"/>
    <w:rsid w:val="00434D37"/>
    <w:rsid w:val="00435C51"/>
    <w:rsid w:val="004474E0"/>
    <w:rsid w:val="004722F4"/>
    <w:rsid w:val="004755E3"/>
    <w:rsid w:val="004768AC"/>
    <w:rsid w:val="00480EE7"/>
    <w:rsid w:val="00491E19"/>
    <w:rsid w:val="004A153A"/>
    <w:rsid w:val="004A502A"/>
    <w:rsid w:val="004B2B72"/>
    <w:rsid w:val="004B49A4"/>
    <w:rsid w:val="004C7BE6"/>
    <w:rsid w:val="004D25D6"/>
    <w:rsid w:val="004E09E5"/>
    <w:rsid w:val="004E6485"/>
    <w:rsid w:val="004F64F8"/>
    <w:rsid w:val="005008A5"/>
    <w:rsid w:val="0050122F"/>
    <w:rsid w:val="00502F27"/>
    <w:rsid w:val="0050651D"/>
    <w:rsid w:val="00510C7C"/>
    <w:rsid w:val="0051478D"/>
    <w:rsid w:val="00520703"/>
    <w:rsid w:val="00520915"/>
    <w:rsid w:val="00522999"/>
    <w:rsid w:val="0052356D"/>
    <w:rsid w:val="005257BD"/>
    <w:rsid w:val="00550B23"/>
    <w:rsid w:val="0055289E"/>
    <w:rsid w:val="00566E32"/>
    <w:rsid w:val="0057424B"/>
    <w:rsid w:val="005833EF"/>
    <w:rsid w:val="00584682"/>
    <w:rsid w:val="00591EF5"/>
    <w:rsid w:val="005932D2"/>
    <w:rsid w:val="00597F6A"/>
    <w:rsid w:val="005A2175"/>
    <w:rsid w:val="005A3F39"/>
    <w:rsid w:val="005A412F"/>
    <w:rsid w:val="005A63D3"/>
    <w:rsid w:val="005B0020"/>
    <w:rsid w:val="005B3B2F"/>
    <w:rsid w:val="005B4ADD"/>
    <w:rsid w:val="005B56A6"/>
    <w:rsid w:val="005C2592"/>
    <w:rsid w:val="005C4D12"/>
    <w:rsid w:val="005C526C"/>
    <w:rsid w:val="005C5893"/>
    <w:rsid w:val="005D1292"/>
    <w:rsid w:val="005D7F3E"/>
    <w:rsid w:val="00601C51"/>
    <w:rsid w:val="00606C9D"/>
    <w:rsid w:val="006237EC"/>
    <w:rsid w:val="006277BC"/>
    <w:rsid w:val="00630B23"/>
    <w:rsid w:val="006324F4"/>
    <w:rsid w:val="00633539"/>
    <w:rsid w:val="0063462C"/>
    <w:rsid w:val="006453FF"/>
    <w:rsid w:val="006547E0"/>
    <w:rsid w:val="006557A6"/>
    <w:rsid w:val="0066727F"/>
    <w:rsid w:val="00670C59"/>
    <w:rsid w:val="00676AB3"/>
    <w:rsid w:val="0067718C"/>
    <w:rsid w:val="006A2633"/>
    <w:rsid w:val="006A28E2"/>
    <w:rsid w:val="006C5686"/>
    <w:rsid w:val="006D23D5"/>
    <w:rsid w:val="006D7DFA"/>
    <w:rsid w:val="006E6493"/>
    <w:rsid w:val="006E75EE"/>
    <w:rsid w:val="006F425C"/>
    <w:rsid w:val="006F79E4"/>
    <w:rsid w:val="00703899"/>
    <w:rsid w:val="0071119D"/>
    <w:rsid w:val="007113CD"/>
    <w:rsid w:val="007146FA"/>
    <w:rsid w:val="007179C0"/>
    <w:rsid w:val="00725F5E"/>
    <w:rsid w:val="00727657"/>
    <w:rsid w:val="00737546"/>
    <w:rsid w:val="00743397"/>
    <w:rsid w:val="00757BA0"/>
    <w:rsid w:val="00762E36"/>
    <w:rsid w:val="00764A05"/>
    <w:rsid w:val="0076610C"/>
    <w:rsid w:val="007705A7"/>
    <w:rsid w:val="0077251C"/>
    <w:rsid w:val="00774116"/>
    <w:rsid w:val="007842CB"/>
    <w:rsid w:val="00794AAB"/>
    <w:rsid w:val="007A17E3"/>
    <w:rsid w:val="007A1ADE"/>
    <w:rsid w:val="007A2CD2"/>
    <w:rsid w:val="007A37CF"/>
    <w:rsid w:val="007A6EB9"/>
    <w:rsid w:val="007B0FC5"/>
    <w:rsid w:val="007B2568"/>
    <w:rsid w:val="007B79D0"/>
    <w:rsid w:val="007C1CC5"/>
    <w:rsid w:val="007E126A"/>
    <w:rsid w:val="007E6E1A"/>
    <w:rsid w:val="007E75D2"/>
    <w:rsid w:val="00810AE8"/>
    <w:rsid w:val="0081112D"/>
    <w:rsid w:val="00822184"/>
    <w:rsid w:val="00823D11"/>
    <w:rsid w:val="008272A7"/>
    <w:rsid w:val="00834D9F"/>
    <w:rsid w:val="00845036"/>
    <w:rsid w:val="0085102C"/>
    <w:rsid w:val="00853676"/>
    <w:rsid w:val="00853EFF"/>
    <w:rsid w:val="00856701"/>
    <w:rsid w:val="00865B5A"/>
    <w:rsid w:val="00866F29"/>
    <w:rsid w:val="00870D00"/>
    <w:rsid w:val="00872D78"/>
    <w:rsid w:val="00882BC6"/>
    <w:rsid w:val="008954B8"/>
    <w:rsid w:val="008A0519"/>
    <w:rsid w:val="008A09D1"/>
    <w:rsid w:val="008A0A2F"/>
    <w:rsid w:val="008A46E4"/>
    <w:rsid w:val="008B7790"/>
    <w:rsid w:val="008C6C07"/>
    <w:rsid w:val="008D17B5"/>
    <w:rsid w:val="008D30C3"/>
    <w:rsid w:val="008D5F63"/>
    <w:rsid w:val="008D6B96"/>
    <w:rsid w:val="008E5181"/>
    <w:rsid w:val="008E57E8"/>
    <w:rsid w:val="008F6331"/>
    <w:rsid w:val="0090154B"/>
    <w:rsid w:val="00904896"/>
    <w:rsid w:val="0091456A"/>
    <w:rsid w:val="00917281"/>
    <w:rsid w:val="009200E9"/>
    <w:rsid w:val="00921B59"/>
    <w:rsid w:val="0093286C"/>
    <w:rsid w:val="00934B0E"/>
    <w:rsid w:val="00935C53"/>
    <w:rsid w:val="00941D6B"/>
    <w:rsid w:val="00945905"/>
    <w:rsid w:val="00947AD1"/>
    <w:rsid w:val="0095413C"/>
    <w:rsid w:val="00956579"/>
    <w:rsid w:val="00964379"/>
    <w:rsid w:val="00964EAA"/>
    <w:rsid w:val="00971334"/>
    <w:rsid w:val="00974C65"/>
    <w:rsid w:val="00976CA9"/>
    <w:rsid w:val="00983045"/>
    <w:rsid w:val="009921E5"/>
    <w:rsid w:val="0099293A"/>
    <w:rsid w:val="00993AEC"/>
    <w:rsid w:val="009954CC"/>
    <w:rsid w:val="00997792"/>
    <w:rsid w:val="009A3CFA"/>
    <w:rsid w:val="009A68EA"/>
    <w:rsid w:val="009B2A96"/>
    <w:rsid w:val="009B6B12"/>
    <w:rsid w:val="009D3C01"/>
    <w:rsid w:val="009D3E3C"/>
    <w:rsid w:val="009E1238"/>
    <w:rsid w:val="009E2421"/>
    <w:rsid w:val="009E4648"/>
    <w:rsid w:val="009E4AA5"/>
    <w:rsid w:val="009E4CBB"/>
    <w:rsid w:val="009E57AD"/>
    <w:rsid w:val="009F2B0A"/>
    <w:rsid w:val="00A0447D"/>
    <w:rsid w:val="00A141A0"/>
    <w:rsid w:val="00A145B3"/>
    <w:rsid w:val="00A2121D"/>
    <w:rsid w:val="00A24267"/>
    <w:rsid w:val="00A24E5E"/>
    <w:rsid w:val="00A267C5"/>
    <w:rsid w:val="00A326CD"/>
    <w:rsid w:val="00A3519C"/>
    <w:rsid w:val="00A40E6C"/>
    <w:rsid w:val="00A41D25"/>
    <w:rsid w:val="00A51AB6"/>
    <w:rsid w:val="00A61817"/>
    <w:rsid w:val="00A64AB1"/>
    <w:rsid w:val="00A652F2"/>
    <w:rsid w:val="00A7039F"/>
    <w:rsid w:val="00A711AD"/>
    <w:rsid w:val="00A73E60"/>
    <w:rsid w:val="00A8088D"/>
    <w:rsid w:val="00AA2C96"/>
    <w:rsid w:val="00AA3E08"/>
    <w:rsid w:val="00AA744C"/>
    <w:rsid w:val="00AB4BE7"/>
    <w:rsid w:val="00AC3E5B"/>
    <w:rsid w:val="00AD01BC"/>
    <w:rsid w:val="00AD3687"/>
    <w:rsid w:val="00AD7F51"/>
    <w:rsid w:val="00AE2E89"/>
    <w:rsid w:val="00AE3F1E"/>
    <w:rsid w:val="00AF57E4"/>
    <w:rsid w:val="00B06B05"/>
    <w:rsid w:val="00B07552"/>
    <w:rsid w:val="00B17526"/>
    <w:rsid w:val="00B30796"/>
    <w:rsid w:val="00B350FA"/>
    <w:rsid w:val="00B4075C"/>
    <w:rsid w:val="00B46BD2"/>
    <w:rsid w:val="00B50B86"/>
    <w:rsid w:val="00B56F9C"/>
    <w:rsid w:val="00B6009E"/>
    <w:rsid w:val="00B616D7"/>
    <w:rsid w:val="00B6463C"/>
    <w:rsid w:val="00B66160"/>
    <w:rsid w:val="00B6709C"/>
    <w:rsid w:val="00B951E3"/>
    <w:rsid w:val="00B96008"/>
    <w:rsid w:val="00BA1830"/>
    <w:rsid w:val="00BA26D5"/>
    <w:rsid w:val="00BA554A"/>
    <w:rsid w:val="00BA5D2C"/>
    <w:rsid w:val="00BB471E"/>
    <w:rsid w:val="00BC589F"/>
    <w:rsid w:val="00BD4673"/>
    <w:rsid w:val="00BF4DD2"/>
    <w:rsid w:val="00BF5322"/>
    <w:rsid w:val="00C1171F"/>
    <w:rsid w:val="00C129F8"/>
    <w:rsid w:val="00C17590"/>
    <w:rsid w:val="00C30C7E"/>
    <w:rsid w:val="00C35534"/>
    <w:rsid w:val="00C4549D"/>
    <w:rsid w:val="00C61A6D"/>
    <w:rsid w:val="00C61FC9"/>
    <w:rsid w:val="00C67327"/>
    <w:rsid w:val="00C83B00"/>
    <w:rsid w:val="00C84C28"/>
    <w:rsid w:val="00CB4B94"/>
    <w:rsid w:val="00CC3D06"/>
    <w:rsid w:val="00CC5862"/>
    <w:rsid w:val="00CD2985"/>
    <w:rsid w:val="00CD481B"/>
    <w:rsid w:val="00CE00B7"/>
    <w:rsid w:val="00CE209D"/>
    <w:rsid w:val="00CE3654"/>
    <w:rsid w:val="00CE4352"/>
    <w:rsid w:val="00D05296"/>
    <w:rsid w:val="00D145AC"/>
    <w:rsid w:val="00D22AA1"/>
    <w:rsid w:val="00D32651"/>
    <w:rsid w:val="00D82B76"/>
    <w:rsid w:val="00D83FF0"/>
    <w:rsid w:val="00D85A6C"/>
    <w:rsid w:val="00D85F72"/>
    <w:rsid w:val="00D87A27"/>
    <w:rsid w:val="00DA6981"/>
    <w:rsid w:val="00DC212B"/>
    <w:rsid w:val="00DC22E7"/>
    <w:rsid w:val="00DC6877"/>
    <w:rsid w:val="00DC7EE0"/>
    <w:rsid w:val="00DE1011"/>
    <w:rsid w:val="00DF216F"/>
    <w:rsid w:val="00E01ACD"/>
    <w:rsid w:val="00E103C3"/>
    <w:rsid w:val="00E10D46"/>
    <w:rsid w:val="00E15FFE"/>
    <w:rsid w:val="00E2584E"/>
    <w:rsid w:val="00E30D42"/>
    <w:rsid w:val="00E34A3F"/>
    <w:rsid w:val="00E364B5"/>
    <w:rsid w:val="00E3727F"/>
    <w:rsid w:val="00E43514"/>
    <w:rsid w:val="00E43EBF"/>
    <w:rsid w:val="00E45D8C"/>
    <w:rsid w:val="00E54A83"/>
    <w:rsid w:val="00E60982"/>
    <w:rsid w:val="00E61B21"/>
    <w:rsid w:val="00E63CE7"/>
    <w:rsid w:val="00E652E0"/>
    <w:rsid w:val="00E90A55"/>
    <w:rsid w:val="00E929BD"/>
    <w:rsid w:val="00E944C2"/>
    <w:rsid w:val="00E951B5"/>
    <w:rsid w:val="00EB3283"/>
    <w:rsid w:val="00ED2069"/>
    <w:rsid w:val="00ED3A25"/>
    <w:rsid w:val="00EE1368"/>
    <w:rsid w:val="00EE3206"/>
    <w:rsid w:val="00EE7424"/>
    <w:rsid w:val="00F05ADE"/>
    <w:rsid w:val="00F07B41"/>
    <w:rsid w:val="00F15CC3"/>
    <w:rsid w:val="00F22920"/>
    <w:rsid w:val="00F24DF5"/>
    <w:rsid w:val="00F30266"/>
    <w:rsid w:val="00F528C3"/>
    <w:rsid w:val="00F53D97"/>
    <w:rsid w:val="00F615FC"/>
    <w:rsid w:val="00F64DBA"/>
    <w:rsid w:val="00F66195"/>
    <w:rsid w:val="00F87DFC"/>
    <w:rsid w:val="00F90A19"/>
    <w:rsid w:val="00FA0ECB"/>
    <w:rsid w:val="00FA0EFB"/>
    <w:rsid w:val="00FA1FEC"/>
    <w:rsid w:val="00FA5286"/>
    <w:rsid w:val="00FA6A63"/>
    <w:rsid w:val="00FA71A7"/>
    <w:rsid w:val="00FB08D4"/>
    <w:rsid w:val="00FB2674"/>
    <w:rsid w:val="00FB38D0"/>
    <w:rsid w:val="00FB70F2"/>
    <w:rsid w:val="00FC3530"/>
    <w:rsid w:val="00FD3814"/>
    <w:rsid w:val="00FD40AA"/>
    <w:rsid w:val="00FE199E"/>
    <w:rsid w:val="00FF2642"/>
    <w:rsid w:val="00FF3039"/>
    <w:rsid w:val="00FF3AD8"/>
    <w:rsid w:val="00FF73BB"/>
    <w:rsid w:val="011B4E76"/>
    <w:rsid w:val="0179EF00"/>
    <w:rsid w:val="01D4F889"/>
    <w:rsid w:val="01E2C0B5"/>
    <w:rsid w:val="0220C49A"/>
    <w:rsid w:val="031C8565"/>
    <w:rsid w:val="0376543D"/>
    <w:rsid w:val="0487668E"/>
    <w:rsid w:val="07047734"/>
    <w:rsid w:val="072F3B4A"/>
    <w:rsid w:val="082431F2"/>
    <w:rsid w:val="08F2FA5C"/>
    <w:rsid w:val="09A9983E"/>
    <w:rsid w:val="0B95474D"/>
    <w:rsid w:val="0E76FC7B"/>
    <w:rsid w:val="10262BA3"/>
    <w:rsid w:val="11E26ABA"/>
    <w:rsid w:val="133F0EA4"/>
    <w:rsid w:val="13AA8C6D"/>
    <w:rsid w:val="156017B4"/>
    <w:rsid w:val="15D840C2"/>
    <w:rsid w:val="16E745D8"/>
    <w:rsid w:val="171D5A6C"/>
    <w:rsid w:val="17AE3921"/>
    <w:rsid w:val="18BA5FC7"/>
    <w:rsid w:val="18D60B10"/>
    <w:rsid w:val="1978DC32"/>
    <w:rsid w:val="1AF33A9B"/>
    <w:rsid w:val="1B27C57E"/>
    <w:rsid w:val="1CC1FBCC"/>
    <w:rsid w:val="1DC06520"/>
    <w:rsid w:val="1EF90CB8"/>
    <w:rsid w:val="21297EC2"/>
    <w:rsid w:val="249B6E6E"/>
    <w:rsid w:val="25B00877"/>
    <w:rsid w:val="26E1C05A"/>
    <w:rsid w:val="2728399F"/>
    <w:rsid w:val="274361B2"/>
    <w:rsid w:val="2A8F0FA8"/>
    <w:rsid w:val="2AD8D941"/>
    <w:rsid w:val="2D176BDD"/>
    <w:rsid w:val="2E557FA9"/>
    <w:rsid w:val="2F023B12"/>
    <w:rsid w:val="2F72554F"/>
    <w:rsid w:val="309F430C"/>
    <w:rsid w:val="31BA290D"/>
    <w:rsid w:val="33A23093"/>
    <w:rsid w:val="342AA293"/>
    <w:rsid w:val="3563DCDF"/>
    <w:rsid w:val="39DA79FF"/>
    <w:rsid w:val="3ABF1217"/>
    <w:rsid w:val="3BBD46F0"/>
    <w:rsid w:val="418AB53B"/>
    <w:rsid w:val="41A9C3A5"/>
    <w:rsid w:val="41F32C2E"/>
    <w:rsid w:val="45A7F296"/>
    <w:rsid w:val="4606E298"/>
    <w:rsid w:val="46186987"/>
    <w:rsid w:val="477E04EF"/>
    <w:rsid w:val="47C3FA16"/>
    <w:rsid w:val="489C8F96"/>
    <w:rsid w:val="48CDDAF4"/>
    <w:rsid w:val="4D7E58A3"/>
    <w:rsid w:val="4E61A3BD"/>
    <w:rsid w:val="4F16C2BF"/>
    <w:rsid w:val="4FBCF7FF"/>
    <w:rsid w:val="4FEC0574"/>
    <w:rsid w:val="509155E6"/>
    <w:rsid w:val="513146F2"/>
    <w:rsid w:val="5171B4AA"/>
    <w:rsid w:val="5302292B"/>
    <w:rsid w:val="534FB283"/>
    <w:rsid w:val="535AB4B5"/>
    <w:rsid w:val="53B32407"/>
    <w:rsid w:val="54FDC7FD"/>
    <w:rsid w:val="58A6ADB0"/>
    <w:rsid w:val="58B47514"/>
    <w:rsid w:val="58D90B07"/>
    <w:rsid w:val="59945628"/>
    <w:rsid w:val="59D0FD12"/>
    <w:rsid w:val="5B99B30F"/>
    <w:rsid w:val="5C30BCF5"/>
    <w:rsid w:val="5CEC9CBB"/>
    <w:rsid w:val="5D3F4098"/>
    <w:rsid w:val="5F6E8D18"/>
    <w:rsid w:val="625553A8"/>
    <w:rsid w:val="6275F280"/>
    <w:rsid w:val="62D819A1"/>
    <w:rsid w:val="63188DF3"/>
    <w:rsid w:val="69951EB9"/>
    <w:rsid w:val="6BAED216"/>
    <w:rsid w:val="6BE7AD72"/>
    <w:rsid w:val="6D336848"/>
    <w:rsid w:val="6D9F521E"/>
    <w:rsid w:val="72841F68"/>
    <w:rsid w:val="7332F8EC"/>
    <w:rsid w:val="73EB1BF3"/>
    <w:rsid w:val="76478F9A"/>
    <w:rsid w:val="76D0057A"/>
    <w:rsid w:val="77883C05"/>
    <w:rsid w:val="77AA7B03"/>
    <w:rsid w:val="77F3D2CF"/>
    <w:rsid w:val="796756E4"/>
    <w:rsid w:val="79E03C68"/>
    <w:rsid w:val="7A33174D"/>
    <w:rsid w:val="7A49514B"/>
    <w:rsid w:val="7A555CCD"/>
    <w:rsid w:val="7C4181FE"/>
    <w:rsid w:val="7E85EE69"/>
    <w:rsid w:val="7EF4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D7121"/>
  <w15:docId w15:val="{187CC18E-A3F4-4743-83A5-8729581D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A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5A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5A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ADE"/>
    <w:rPr>
      <w:rFonts w:ascii="Times New Roman" w:hAnsi="Times New Roman" w:cs="Times New Roman" w:hint="default"/>
      <w:color w:val="000000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F05A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5ADE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53EF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1E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235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5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56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41D2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0EF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82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B76"/>
  </w:style>
  <w:style w:type="paragraph" w:styleId="Footer">
    <w:name w:val="footer"/>
    <w:basedOn w:val="Normal"/>
    <w:link w:val="FooterChar"/>
    <w:uiPriority w:val="99"/>
    <w:unhideWhenUsed/>
    <w:rsid w:val="00D82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B76"/>
  </w:style>
  <w:style w:type="character" w:styleId="Strong">
    <w:name w:val="Strong"/>
    <w:basedOn w:val="DefaultParagraphFont"/>
    <w:uiPriority w:val="22"/>
    <w:qFormat/>
    <w:rsid w:val="005833EF"/>
    <w:rPr>
      <w:rFonts w:ascii="Lato" w:hAnsi="Lato" w:hint="default"/>
      <w:b/>
      <w:bCs/>
    </w:rPr>
  </w:style>
  <w:style w:type="paragraph" w:customStyle="1" w:styleId="pf0">
    <w:name w:val="pf0"/>
    <w:basedOn w:val="Normal"/>
    <w:rsid w:val="00E15FFE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E15FFE"/>
    <w:rPr>
      <w:rFonts w:ascii="Segoe UI" w:hAnsi="Segoe UI" w:cs="Segoe UI" w:hint="default"/>
      <w:color w:val="1C1D1F"/>
      <w:sz w:val="18"/>
      <w:szCs w:val="18"/>
      <w:shd w:val="clear" w:color="auto" w:fill="FFFFFF"/>
    </w:rPr>
  </w:style>
  <w:style w:type="paragraph" w:customStyle="1" w:styleId="pf1">
    <w:name w:val="pf1"/>
    <w:basedOn w:val="Normal"/>
    <w:rsid w:val="00E1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1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2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oh.wa.gov/Portals/1/Documents/pubs/301-018-InfluenzaTestingPHL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dc.gov/bird-flu/media/pdfs/2024/07/conjunctival-swab-collection-avian-influenza.pdf" TargetMode="External"/><Relationship Id="rId17" Type="http://schemas.openxmlformats.org/officeDocument/2006/relationships/hyperlink" Target="https://ndc.services.cdc.gov/case-definitions/novel-influenza-a-virus-infection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dc.gov/bird-flu/hcp/novel-flu-infection-control/index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dc.gov/bird-flu/prevention/hpai-interim-recommendations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dc.gov/bird-flu/hcp/novel-av-treatment-guidance/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dc.gov/bird-flu/hcp/clinicians-evaluating-patients/interim-guidance-follow-u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D1C065F9A1A4E800AD57243778251" ma:contentTypeVersion="6" ma:contentTypeDescription="Create a new document." ma:contentTypeScope="" ma:versionID="4e6038928715c9d003df4f60420d66c5">
  <xsd:schema xmlns:xsd="http://www.w3.org/2001/XMLSchema" xmlns:xs="http://www.w3.org/2001/XMLSchema" xmlns:p="http://schemas.microsoft.com/office/2006/metadata/properties" xmlns:ns2="488f4045-14a4-4629-ad38-2da869b85ff4" xmlns:ns3="be99a717-2d48-43d8-9a4d-bcfe4b9b1472" targetNamespace="http://schemas.microsoft.com/office/2006/metadata/properties" ma:root="true" ma:fieldsID="1d174bb6edc64e5e9774b6b3bf851b02" ns2:_="" ns3:_="">
    <xsd:import namespace="488f4045-14a4-4629-ad38-2da869b85ff4"/>
    <xsd:import namespace="be99a717-2d48-43d8-9a4d-bcfe4b9b1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f4045-14a4-4629-ad38-2da869b85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9a717-2d48-43d8-9a4d-bcfe4b9b14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048961-4657-4C43-8F33-A089D9DD4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f4045-14a4-4629-ad38-2da869b85ff4"/>
    <ds:schemaRef ds:uri="be99a717-2d48-43d8-9a4d-bcfe4b9b1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75A0D8-2453-4279-8366-3DC2F0583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27EBB4-CC14-482A-A0E0-51EF4ADD4AD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1119</Words>
  <Characters>6398</Characters>
  <Application>Microsoft Office Word</Application>
  <DocSecurity>0</DocSecurity>
  <Lines>108</Lines>
  <Paragraphs>56</Paragraphs>
  <ScaleCrop>false</ScaleCrop>
  <Company>Washington State Department of Health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Hawkins, Vivian  (DOH)</dc:creator>
  <cp:keywords/>
  <cp:lastModifiedBy>Shelby Bafus</cp:lastModifiedBy>
  <cp:revision>4</cp:revision>
  <dcterms:created xsi:type="dcterms:W3CDTF">2026-02-09T22:54:00Z</dcterms:created>
  <dcterms:modified xsi:type="dcterms:W3CDTF">2026-02-09T22:57:00Z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etDate">
    <vt:lpwstr>2022-03-21T16:43:59Z</vt:lpwstr>
  </property>
  <property fmtid="{D5CDD505-2E9C-101B-9397-08002B2CF9AE}" pid="4" name="MSIP_Label_1520fa42-cf58-4c22-8b93-58cf1d3bd1cb_Method">
    <vt:lpwstr>Standard</vt:lpwstr>
  </property>
  <property fmtid="{D5CDD505-2E9C-101B-9397-08002B2CF9AE}" pid="5" name="MSIP_Label_1520fa42-cf58-4c22-8b93-58cf1d3bd1cb_Name">
    <vt:lpwstr>Public Information</vt:lpwstr>
  </property>
  <property fmtid="{D5CDD505-2E9C-101B-9397-08002B2CF9AE}" pid="6" name="MSIP_Label_1520fa42-cf58-4c22-8b93-58cf1d3bd1cb_SiteId">
    <vt:lpwstr>11d0e217-264e-400a-8ba0-57dcc127d72d</vt:lpwstr>
  </property>
  <property fmtid="{D5CDD505-2E9C-101B-9397-08002B2CF9AE}" pid="7" name="MSIP_Label_1520fa42-cf58-4c22-8b93-58cf1d3bd1cb_ActionId">
    <vt:lpwstr>30ef5e53-c8de-49d2-947e-608f79a7cf3c</vt:lpwstr>
  </property>
  <property fmtid="{D5CDD505-2E9C-101B-9397-08002B2CF9AE}" pid="8" name="MSIP_Label_1520fa42-cf58-4c22-8b93-58cf1d3bd1cb_ContentBits">
    <vt:lpwstr>0</vt:lpwstr>
  </property>
  <property fmtid="{D5CDD505-2E9C-101B-9397-08002B2CF9AE}" pid="9" name="ContentTypeId">
    <vt:lpwstr>0x010100E58D1C065F9A1A4E800AD57243778251</vt:lpwstr>
  </property>
  <property fmtid="{D5CDD505-2E9C-101B-9397-08002B2CF9AE}" pid="10" name="MediaServiceImageTags">
    <vt:lpwstr/>
  </property>
  <property fmtid="{D5CDD505-2E9C-101B-9397-08002B2CF9AE}" pid="11" name="_dlc_DocIdItemGuid">
    <vt:lpwstr>d787c68c-daff-4303-8895-c2c9c77f1abf</vt:lpwstr>
  </property>
</Properties>
</file>